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spacing w:beforeAutospacing="0" w:afterAutospacing="0"/>
        <w:jc w:val="both"/>
      </w:pPr>
      <w:r>
        <w:rPr>
          <w:rFonts w:ascii="楷体_GB2312" w:eastAsia="楷体_GB2312" w:cs="楷体_GB2312"/>
          <w:color w:val="000000"/>
          <w:sz w:val="28"/>
          <w:szCs w:val="28"/>
        </w:rPr>
        <w:t>中国人民银行厦门市分行</w:t>
      </w:r>
      <w:r>
        <w:rPr>
          <w:rFonts w:hint="eastAsia" w:ascii="楷体_GB2312" w:eastAsia="楷体_GB2312" w:cs="楷体_GB2312"/>
          <w:color w:val="000000"/>
          <w:sz w:val="28"/>
          <w:szCs w:val="28"/>
        </w:rPr>
        <w:t>行政许可事项服务指南</w:t>
      </w:r>
    </w:p>
    <w:p>
      <w:pPr>
        <w:pStyle w:val="6"/>
        <w:spacing w:beforeAutospacing="0" w:afterAutospacing="0"/>
        <w:jc w:val="both"/>
      </w:pPr>
    </w:p>
    <w:p>
      <w:pPr>
        <w:pStyle w:val="6"/>
        <w:spacing w:beforeAutospacing="0" w:afterAutospacing="0"/>
        <w:jc w:val="both"/>
      </w:pPr>
    </w:p>
    <w:p>
      <w:pPr>
        <w:pStyle w:val="6"/>
        <w:spacing w:beforeAutospacing="0" w:afterAutospacing="0"/>
        <w:jc w:val="both"/>
      </w:pPr>
    </w:p>
    <w:p>
      <w:pPr>
        <w:pStyle w:val="6"/>
        <w:spacing w:beforeAutospacing="0" w:afterAutospacing="0"/>
        <w:jc w:val="center"/>
      </w:pPr>
      <w:r>
        <w:rPr>
          <w:rFonts w:ascii="方正小标宋_GBK" w:hAnsi="方正小标宋_GBK" w:eastAsia="方正小标宋_GBK" w:cs="方正小标宋_GBK"/>
          <w:color w:val="000000"/>
          <w:sz w:val="44"/>
          <w:szCs w:val="44"/>
        </w:rPr>
        <w:t>中国人民银行厦门市分行</w:t>
      </w:r>
      <w:r>
        <w:rPr>
          <w:rFonts w:hint="eastAsia" w:ascii="方正小标宋_GBK" w:hAnsi="方正小标宋_GBK" w:eastAsia="方正小标宋_GBK" w:cs="方正小标宋_GBK"/>
          <w:color w:val="000000"/>
          <w:sz w:val="44"/>
          <w:szCs w:val="44"/>
        </w:rPr>
        <w:t>非银行支付机构设立初审事项服务指南</w:t>
      </w:r>
    </w:p>
    <w:p>
      <w:pPr>
        <w:pStyle w:val="6"/>
        <w:spacing w:beforeAutospacing="0" w:afterAutospacing="0"/>
        <w:jc w:val="both"/>
      </w:pPr>
    </w:p>
    <w:p>
      <w:pPr>
        <w:pStyle w:val="6"/>
        <w:spacing w:beforeAutospacing="0" w:afterAutospacing="0"/>
        <w:jc w:val="both"/>
      </w:pPr>
    </w:p>
    <w:p>
      <w:pPr>
        <w:jc w:val="center"/>
        <w:rPr>
          <w:sz w:val="28"/>
          <w:szCs w:val="28"/>
        </w:rPr>
      </w:pPr>
      <w:r>
        <w:rPr>
          <w:rFonts w:ascii="宋体" w:hAnsi="宋体"/>
          <w:szCs w:val="22"/>
        </w:rPr>
        <w:pict>
          <v:shape id="_x0000_i1025" o:spt="75" type="#_x0000_t75" style="height:89.25pt;width:95.25pt;" filled="f" o:preferrelative="t" stroked="f" coordsize="21600,21600">
            <v:path/>
            <v:fill on="f" focussize="0,0"/>
            <v:stroke on="f" joinstyle="miter"/>
            <v:imagedata r:id="rId4" chromakey="#FEFEFE" o:title=""/>
            <o:lock v:ext="edit" aspectratio="t"/>
            <w10:wrap type="none"/>
            <w10:anchorlock/>
          </v:shape>
        </w:pict>
      </w:r>
    </w:p>
    <w:p>
      <w:pPr>
        <w:pStyle w:val="6"/>
        <w:spacing w:beforeAutospacing="0" w:afterAutospacing="0"/>
        <w:jc w:val="center"/>
      </w:pPr>
      <w:r>
        <w:t> </w:t>
      </w:r>
    </w:p>
    <w:p>
      <w:pPr>
        <w:pStyle w:val="6"/>
        <w:spacing w:beforeAutospacing="0" w:afterAutospacing="0"/>
        <w:jc w:val="both"/>
      </w:pPr>
    </w:p>
    <w:p>
      <w:pPr>
        <w:pStyle w:val="6"/>
        <w:spacing w:beforeAutospacing="0" w:afterAutospacing="0"/>
        <w:jc w:val="both"/>
      </w:pPr>
    </w:p>
    <w:p>
      <w:pPr>
        <w:pStyle w:val="6"/>
        <w:spacing w:beforeAutospacing="0" w:afterAutospacing="0"/>
        <w:jc w:val="both"/>
      </w:pPr>
    </w:p>
    <w:p>
      <w:pPr>
        <w:pStyle w:val="6"/>
        <w:spacing w:beforeAutospacing="0" w:afterAutospacing="0"/>
        <w:jc w:val="both"/>
      </w:pPr>
    </w:p>
    <w:p>
      <w:pPr>
        <w:pStyle w:val="6"/>
        <w:spacing w:beforeAutospacing="0" w:afterAutospacing="0"/>
        <w:jc w:val="both"/>
      </w:pPr>
    </w:p>
    <w:p>
      <w:pPr>
        <w:pStyle w:val="6"/>
        <w:spacing w:beforeAutospacing="0" w:afterAutospacing="0"/>
        <w:jc w:val="both"/>
      </w:pPr>
    </w:p>
    <w:p>
      <w:pPr>
        <w:pStyle w:val="6"/>
        <w:spacing w:beforeAutospacing="0" w:afterAutospacing="0"/>
        <w:jc w:val="both"/>
      </w:pPr>
    </w:p>
    <w:p>
      <w:pPr>
        <w:pStyle w:val="6"/>
        <w:spacing w:beforeAutospacing="0" w:afterAutospacing="0"/>
        <w:jc w:val="both"/>
      </w:pPr>
    </w:p>
    <w:p>
      <w:pPr>
        <w:pStyle w:val="6"/>
        <w:spacing w:beforeAutospacing="0" w:afterAutospacing="0"/>
        <w:jc w:val="both"/>
      </w:pPr>
    </w:p>
    <w:p>
      <w:pPr>
        <w:pStyle w:val="6"/>
        <w:spacing w:beforeAutospacing="0" w:afterAutospacing="0"/>
        <w:jc w:val="both"/>
      </w:pPr>
    </w:p>
    <w:p>
      <w:pPr>
        <w:pStyle w:val="6"/>
        <w:spacing w:beforeAutospacing="0" w:afterAutospacing="0"/>
        <w:jc w:val="both"/>
      </w:pPr>
    </w:p>
    <w:p>
      <w:pPr>
        <w:pStyle w:val="6"/>
        <w:spacing w:beforeAutospacing="0" w:afterAutospacing="0"/>
        <w:ind w:left="1680" w:firstLine="420"/>
        <w:jc w:val="both"/>
      </w:pPr>
      <w:r>
        <w:rPr>
          <w:rFonts w:ascii="仿宋_GB2312" w:eastAsia="仿宋_GB2312" w:cs="仿宋_GB2312"/>
          <w:color w:val="000000"/>
          <w:sz w:val="32"/>
          <w:szCs w:val="32"/>
        </w:rPr>
        <w:t>实施日期：自发布之日起</w:t>
      </w:r>
    </w:p>
    <w:p>
      <w:pPr>
        <w:pStyle w:val="6"/>
        <w:spacing w:beforeAutospacing="0" w:afterAutospacing="0"/>
        <w:ind w:left="1680" w:firstLine="420"/>
        <w:jc w:val="both"/>
      </w:pPr>
      <w:r>
        <w:rPr>
          <w:rFonts w:hint="eastAsia" w:ascii="仿宋_GB2312" w:eastAsia="仿宋_GB2312" w:cs="仿宋_GB2312"/>
          <w:color w:val="000000"/>
          <w:sz w:val="32"/>
          <w:szCs w:val="32"/>
        </w:rPr>
        <w:t>发布机构：中国人民银行厦门市分行</w:t>
      </w:r>
    </w:p>
    <w:p>
      <w:pPr>
        <w:pStyle w:val="6"/>
        <w:spacing w:beforeAutospacing="0" w:afterAutospacing="0"/>
        <w:jc w:val="both"/>
      </w:pPr>
    </w:p>
    <w:p>
      <w:pPr>
        <w:pStyle w:val="6"/>
        <w:spacing w:beforeAutospacing="0" w:afterAutospacing="0"/>
        <w:jc w:val="both"/>
        <w:rPr>
          <w:rFonts w:ascii="Times New Roman" w:hAnsi="Times New Roman" w:cs="Times New Roman"/>
          <w:color w:val="000000"/>
          <w:sz w:val="32"/>
          <w:szCs w:val="32"/>
        </w:rPr>
      </w:pPr>
    </w:p>
    <w:p>
      <w:pPr>
        <w:pStyle w:val="6"/>
        <w:spacing w:beforeAutospacing="0" w:afterAutospacing="0"/>
        <w:jc w:val="both"/>
        <w:rPr>
          <w:rFonts w:ascii="Times New Roman" w:hAnsi="Times New Roman" w:cs="Times New Roman"/>
          <w:color w:val="000000"/>
          <w:sz w:val="32"/>
          <w:szCs w:val="32"/>
        </w:rPr>
      </w:pPr>
    </w:p>
    <w:p>
      <w:pPr>
        <w:pStyle w:val="6"/>
        <w:spacing w:beforeAutospacing="0" w:afterAutospacing="0"/>
        <w:jc w:val="both"/>
        <w:rPr>
          <w:rFonts w:ascii="Times New Roman" w:hAnsi="Times New Roman" w:cs="Times New Roman"/>
          <w:color w:val="000000"/>
          <w:sz w:val="32"/>
          <w:szCs w:val="32"/>
        </w:rPr>
      </w:pPr>
    </w:p>
    <w:p>
      <w:pPr>
        <w:pStyle w:val="6"/>
        <w:spacing w:beforeAutospacing="0" w:afterAutospacing="0"/>
        <w:jc w:val="both"/>
      </w:pPr>
    </w:p>
    <w:p>
      <w:pPr>
        <w:adjustRightInd w:val="0"/>
        <w:snapToGrid w:val="0"/>
        <w:spacing w:line="560" w:lineRule="exact"/>
        <w:jc w:val="center"/>
        <w:rPr>
          <w:rFonts w:ascii="黑体" w:hAnsi="黑体" w:eastAsia="黑体"/>
          <w:sz w:val="36"/>
          <w:szCs w:val="36"/>
        </w:rPr>
      </w:pPr>
    </w:p>
    <w:p>
      <w:pPr>
        <w:pStyle w:val="6"/>
        <w:spacing w:beforeAutospacing="0" w:afterAutospacing="0" w:line="560" w:lineRule="exact"/>
        <w:ind w:firstLine="640" w:firstLineChars="200"/>
        <w:jc w:val="both"/>
      </w:pPr>
      <w:r>
        <w:rPr>
          <w:rFonts w:ascii="黑体" w:hAnsi="宋体" w:eastAsia="黑体"/>
          <w:color w:val="000000"/>
          <w:sz w:val="32"/>
          <w:szCs w:val="32"/>
        </w:rPr>
        <w:t>一、</w:t>
      </w:r>
      <w:r>
        <w:rPr>
          <w:rFonts w:hint="eastAsia" w:ascii="黑体" w:hAnsi="宋体" w:eastAsia="黑体"/>
          <w:color w:val="000000"/>
          <w:sz w:val="32"/>
          <w:szCs w:val="32"/>
        </w:rPr>
        <w:t>适用范围</w:t>
      </w:r>
    </w:p>
    <w:p>
      <w:pPr>
        <w:pStyle w:val="6"/>
        <w:spacing w:beforeAutospacing="0" w:afterAutospacing="0" w:line="56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本指南适用于住所所在地在厦门市内的企业法人申请设立非银行支付机构。</w:t>
      </w:r>
    </w:p>
    <w:p>
      <w:pPr>
        <w:pStyle w:val="6"/>
        <w:spacing w:beforeAutospacing="0" w:afterAutospacing="0" w:line="560" w:lineRule="exact"/>
        <w:ind w:firstLine="640" w:firstLineChars="200"/>
        <w:jc w:val="both"/>
      </w:pPr>
      <w:r>
        <w:rPr>
          <w:rFonts w:hint="eastAsia" w:ascii="黑体" w:hAnsi="宋体" w:eastAsia="黑体"/>
          <w:color w:val="000000"/>
          <w:sz w:val="32"/>
          <w:szCs w:val="32"/>
        </w:rPr>
        <w:t>二、事项审查类型</w:t>
      </w:r>
    </w:p>
    <w:p>
      <w:pPr>
        <w:pStyle w:val="6"/>
        <w:spacing w:beforeAutospacing="0" w:afterAutospacing="0" w:line="560" w:lineRule="exact"/>
        <w:ind w:firstLine="640" w:firstLineChars="200"/>
        <w:jc w:val="both"/>
        <w:rPr>
          <w:rFonts w:ascii="仿宋_GB2312" w:eastAsia="仿宋_GB2312" w:cs="仿宋_GB2312"/>
          <w:color w:val="000000"/>
          <w:sz w:val="32"/>
          <w:szCs w:val="32"/>
        </w:rPr>
      </w:pPr>
      <w:r>
        <w:rPr>
          <w:rFonts w:hint="eastAsia" w:ascii="仿宋_GB2312" w:eastAsia="仿宋_GB2312" w:cs="仿宋_GB2312"/>
          <w:color w:val="000000"/>
          <w:sz w:val="32"/>
          <w:szCs w:val="32"/>
        </w:rPr>
        <w:t>前审后批。</w:t>
      </w:r>
    </w:p>
    <w:p>
      <w:pPr>
        <w:pStyle w:val="6"/>
        <w:spacing w:beforeAutospacing="0" w:afterAutospacing="0" w:line="560" w:lineRule="exact"/>
        <w:ind w:firstLine="640" w:firstLineChars="200"/>
        <w:jc w:val="both"/>
      </w:pPr>
      <w:r>
        <w:rPr>
          <w:rFonts w:hint="eastAsia" w:ascii="黑体" w:hAnsi="宋体" w:eastAsia="黑体"/>
          <w:color w:val="000000"/>
          <w:sz w:val="32"/>
          <w:szCs w:val="32"/>
        </w:rPr>
        <w:t>三、审批依据</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1.《中华人民共和国中国人民银行法》第四条：“中国人民银行履行下列职责：……（九）维护支付、清算系统的正常运行……”。</w:t>
      </w:r>
    </w:p>
    <w:p>
      <w:pPr>
        <w:pStyle w:val="6"/>
        <w:spacing w:beforeAutospacing="0" w:afterAutospacing="0" w:line="560" w:lineRule="exact"/>
        <w:ind w:firstLine="640" w:firstLineChars="200"/>
        <w:jc w:val="both"/>
      </w:pPr>
      <w:r>
        <w:rPr>
          <w:rFonts w:hint="eastAsia" w:ascii="仿宋_GB2312" w:eastAsia="仿宋_GB2312" w:cs="仿宋_GB2312"/>
          <w:color w:val="000000"/>
          <w:sz w:val="32"/>
          <w:szCs w:val="32"/>
        </w:rPr>
        <w:t>2.《非银行支付机构监督管理条例》（中华人民共和国国务院令第768号，以下简称《条例》）第六条：“设立非银行支付机构，应当经中国人民银行批准，取得支付业务许可……未经依法批准，任何单位和个人不得从事或者变相从事支付业务……”。</w:t>
      </w:r>
    </w:p>
    <w:p>
      <w:pPr>
        <w:pStyle w:val="6"/>
        <w:spacing w:beforeAutospacing="0" w:afterAutospacing="0" w:line="560" w:lineRule="exact"/>
        <w:ind w:firstLine="640" w:firstLineChars="200"/>
        <w:jc w:val="both"/>
        <w:rPr>
          <w:rFonts w:ascii="仿宋_GB2312" w:hAnsi="仿宋_GB2312" w:eastAsia="仿宋_GB2312" w:cs="仿宋_GB2312"/>
          <w:color w:val="000000"/>
          <w:sz w:val="32"/>
          <w:szCs w:val="32"/>
          <w:lang w:val="zh-CN"/>
        </w:rPr>
      </w:pPr>
      <w:r>
        <w:rPr>
          <w:rFonts w:hint="eastAsia" w:ascii="仿宋_GB2312" w:eastAsia="仿宋_GB2312" w:cs="仿宋_GB2312"/>
          <w:color w:val="000000"/>
          <w:sz w:val="32"/>
          <w:szCs w:val="32"/>
        </w:rPr>
        <w:t>3.《非银行支付机构监督管理条例实施细则》（中国人民银行令〔2024〕第4号发布，以下简称《实施细则》）</w:t>
      </w:r>
      <w:r>
        <w:rPr>
          <w:rFonts w:hint="eastAsia" w:ascii="仿宋_GB2312" w:hAnsi="仿宋_GB2312" w:eastAsia="仿宋_GB2312" w:cs="仿宋_GB2312"/>
          <w:color w:val="000000"/>
          <w:sz w:val="32"/>
          <w:szCs w:val="32"/>
          <w:lang w:val="zh-CN"/>
        </w:rPr>
        <w:t>第三条：“《条例》所称</w:t>
      </w:r>
      <w:r>
        <w:rPr>
          <w:rFonts w:hint="eastAsia" w:ascii="仿宋_GB2312" w:hAnsi="仿宋_GB2312" w:eastAsia="仿宋_GB2312" w:cs="仿宋_GB2312"/>
          <w:color w:val="000000"/>
          <w:sz w:val="32"/>
          <w:szCs w:val="32"/>
        </w:rPr>
        <w:t>中国人民银行的分支机构是指中国人民银行各省、自治区、直辖市以及计划单列市分行……</w:t>
      </w:r>
      <w:r>
        <w:rPr>
          <w:rFonts w:hint="eastAsia" w:ascii="仿宋_GB2312" w:hAnsi="仿宋_GB2312" w:eastAsia="仿宋_GB2312" w:cs="仿宋_GB2312"/>
          <w:color w:val="000000"/>
          <w:sz w:val="32"/>
          <w:szCs w:val="32"/>
          <w:lang w:val="zh-CN"/>
        </w:rPr>
        <w:t>”。</w:t>
      </w:r>
    </w:p>
    <w:p>
      <w:pPr>
        <w:pStyle w:val="6"/>
        <w:spacing w:beforeAutospacing="0" w:afterAutospacing="0" w:line="560" w:lineRule="exact"/>
        <w:ind w:firstLine="640" w:firstLineChars="200"/>
        <w:jc w:val="both"/>
      </w:pPr>
      <w:r>
        <w:rPr>
          <w:rFonts w:hint="eastAsia" w:ascii="仿宋_GB2312" w:eastAsia="仿宋_GB2312" w:cs="仿宋_GB2312"/>
          <w:color w:val="000000"/>
          <w:sz w:val="32"/>
          <w:szCs w:val="32"/>
        </w:rPr>
        <w:t>第十八条：“申请人申请设立非银行支付机构，应当向住所所在地中国人民银行的分支机构提交申请材料。中国人民银行的分支机构依法受理符合要求的申请，自受理申请之日起初步审查，并将申请材料和初步审查意见报送中国人民银行。中国人民银行自中国人民银行的分支机构受理申请之日起6个月内作出批准或者不予批准的决定。”</w:t>
      </w:r>
    </w:p>
    <w:p>
      <w:pPr>
        <w:pStyle w:val="6"/>
        <w:spacing w:beforeAutospacing="0" w:afterAutospacing="0" w:line="560" w:lineRule="exact"/>
        <w:ind w:firstLine="640" w:firstLineChars="200"/>
      </w:pPr>
      <w:r>
        <w:rPr>
          <w:rFonts w:hint="eastAsia" w:ascii="黑体" w:hAnsi="宋体" w:eastAsia="黑体"/>
          <w:color w:val="000000"/>
          <w:sz w:val="32"/>
          <w:szCs w:val="32"/>
        </w:rPr>
        <w:t>四、受理机构</w:t>
      </w:r>
    </w:p>
    <w:p>
      <w:pPr>
        <w:pStyle w:val="6"/>
        <w:spacing w:beforeAutospacing="0" w:afterAutospacing="0" w:line="560" w:lineRule="exact"/>
        <w:ind w:firstLine="640" w:firstLineChars="200"/>
        <w:jc w:val="both"/>
      </w:pPr>
      <w:r>
        <w:rPr>
          <w:rFonts w:hint="eastAsia" w:ascii="仿宋_GB2312" w:eastAsia="仿宋_GB2312" w:cs="仿宋_GB2312"/>
          <w:color w:val="000000"/>
          <w:sz w:val="32"/>
          <w:szCs w:val="32"/>
        </w:rPr>
        <w:t>中国人民银行厦门市分行。</w:t>
      </w:r>
    </w:p>
    <w:p>
      <w:pPr>
        <w:pStyle w:val="6"/>
        <w:spacing w:beforeAutospacing="0" w:afterAutospacing="0" w:line="560" w:lineRule="exact"/>
        <w:ind w:firstLine="640" w:firstLineChars="200"/>
      </w:pPr>
      <w:r>
        <w:rPr>
          <w:rFonts w:hint="eastAsia" w:ascii="黑体" w:hAnsi="宋体" w:eastAsia="黑体"/>
          <w:color w:val="000000"/>
          <w:sz w:val="32"/>
          <w:szCs w:val="32"/>
        </w:rPr>
        <w:t>五、审核机构</w:t>
      </w:r>
    </w:p>
    <w:p>
      <w:pPr>
        <w:pStyle w:val="6"/>
        <w:spacing w:beforeAutospacing="0" w:afterAutospacing="0" w:line="560" w:lineRule="exact"/>
        <w:ind w:firstLine="640" w:firstLineChars="200"/>
      </w:pPr>
      <w:r>
        <w:rPr>
          <w:rFonts w:hint="eastAsia" w:ascii="仿宋_GB2312" w:eastAsia="仿宋_GB2312" w:cs="仿宋_GB2312"/>
          <w:color w:val="000000"/>
          <w:sz w:val="32"/>
          <w:szCs w:val="32"/>
        </w:rPr>
        <w:t>中国人民银行厦门市分行初审、中国人民银行总行复审。</w:t>
      </w:r>
    </w:p>
    <w:p>
      <w:pPr>
        <w:pStyle w:val="6"/>
        <w:spacing w:beforeAutospacing="0" w:afterAutospacing="0" w:line="560" w:lineRule="exact"/>
        <w:ind w:firstLine="640" w:firstLineChars="200"/>
      </w:pPr>
      <w:r>
        <w:rPr>
          <w:rFonts w:hint="eastAsia" w:ascii="黑体" w:hAnsi="宋体" w:eastAsia="黑体"/>
          <w:color w:val="000000"/>
          <w:sz w:val="32"/>
          <w:szCs w:val="32"/>
        </w:rPr>
        <w:t>六、决定机构</w:t>
      </w:r>
    </w:p>
    <w:p>
      <w:pPr>
        <w:pStyle w:val="6"/>
        <w:spacing w:beforeAutospacing="0" w:afterAutospacing="0" w:line="560" w:lineRule="exact"/>
        <w:ind w:firstLine="640" w:firstLineChars="200"/>
      </w:pPr>
      <w:r>
        <w:rPr>
          <w:rFonts w:hint="eastAsia" w:ascii="仿宋_GB2312" w:eastAsia="仿宋_GB2312" w:cs="仿宋_GB2312"/>
          <w:color w:val="000000"/>
          <w:sz w:val="32"/>
          <w:szCs w:val="32"/>
        </w:rPr>
        <w:t>中国人民银行总行。</w:t>
      </w:r>
    </w:p>
    <w:p>
      <w:pPr>
        <w:pStyle w:val="6"/>
        <w:spacing w:beforeAutospacing="0" w:afterAutospacing="0" w:line="560" w:lineRule="exact"/>
        <w:ind w:firstLine="640" w:firstLineChars="200"/>
        <w:jc w:val="both"/>
      </w:pPr>
      <w:r>
        <w:rPr>
          <w:rFonts w:hint="eastAsia" w:ascii="黑体" w:hAnsi="宋体" w:eastAsia="黑体"/>
          <w:color w:val="000000"/>
          <w:sz w:val="32"/>
          <w:szCs w:val="32"/>
        </w:rPr>
        <w:t>七、数量限制</w:t>
      </w:r>
    </w:p>
    <w:p>
      <w:pPr>
        <w:pStyle w:val="6"/>
        <w:spacing w:beforeAutospacing="0" w:afterAutospacing="0" w:line="560" w:lineRule="exact"/>
        <w:ind w:firstLine="640" w:firstLineChars="200"/>
        <w:jc w:val="both"/>
      </w:pPr>
      <w:r>
        <w:rPr>
          <w:rFonts w:hint="eastAsia" w:ascii="仿宋_GB2312" w:eastAsia="仿宋_GB2312" w:cs="仿宋_GB2312"/>
          <w:color w:val="000000"/>
          <w:sz w:val="32"/>
          <w:szCs w:val="32"/>
        </w:rPr>
        <w:t>无数量限制。</w:t>
      </w:r>
    </w:p>
    <w:p>
      <w:pPr>
        <w:pStyle w:val="6"/>
        <w:spacing w:beforeAutospacing="0" w:afterAutospacing="0" w:line="560" w:lineRule="exact"/>
        <w:ind w:firstLine="640" w:firstLineChars="200"/>
        <w:jc w:val="both"/>
      </w:pPr>
      <w:r>
        <w:rPr>
          <w:rFonts w:hint="eastAsia" w:ascii="黑体" w:hAnsi="宋体" w:eastAsia="黑体"/>
          <w:color w:val="000000"/>
          <w:sz w:val="32"/>
          <w:szCs w:val="32"/>
        </w:rPr>
        <w:t>八、申请条件</w:t>
      </w:r>
    </w:p>
    <w:p>
      <w:pPr>
        <w:pStyle w:val="6"/>
        <w:spacing w:beforeAutospacing="0" w:afterAutospacing="0" w:line="560" w:lineRule="exact"/>
        <w:ind w:firstLine="640"/>
        <w:jc w:val="both"/>
      </w:pPr>
      <w:r>
        <w:rPr>
          <w:rFonts w:hint="eastAsia" w:ascii="楷体_GB2312" w:eastAsia="楷体_GB2312" w:cs="楷体_GB2312"/>
          <w:color w:val="000000"/>
          <w:sz w:val="32"/>
          <w:szCs w:val="32"/>
        </w:rPr>
        <w:t>（一）申请人条件</w:t>
      </w:r>
    </w:p>
    <w:p>
      <w:pPr>
        <w:pStyle w:val="6"/>
        <w:spacing w:beforeAutospacing="0" w:afterAutospacing="0" w:line="560" w:lineRule="exact"/>
        <w:ind w:firstLine="640"/>
        <w:jc w:val="both"/>
      </w:pPr>
      <w:r>
        <w:rPr>
          <w:rFonts w:hint="eastAsia" w:ascii="仿宋_GB2312" w:eastAsia="仿宋_GB2312" w:cs="仿宋_GB2312"/>
          <w:color w:val="000000"/>
          <w:sz w:val="32"/>
          <w:szCs w:val="32"/>
        </w:rPr>
        <w:t>1.在中华人民共和国境内依法设立的有限责任公司或股份有限公司，且为企业法人；</w:t>
      </w:r>
    </w:p>
    <w:p>
      <w:pPr>
        <w:pStyle w:val="6"/>
        <w:spacing w:beforeAutospacing="0" w:afterAutospacing="0" w:line="560" w:lineRule="exact"/>
        <w:ind w:firstLine="640"/>
        <w:jc w:val="both"/>
      </w:pPr>
      <w:r>
        <w:rPr>
          <w:rFonts w:hint="eastAsia" w:ascii="仿宋_GB2312" w:eastAsia="仿宋_GB2312" w:cs="仿宋_GB2312"/>
          <w:color w:val="000000"/>
          <w:sz w:val="32"/>
          <w:szCs w:val="32"/>
        </w:rPr>
        <w:t>2.有符合《条例》《实施细则》规定的注册资本；</w:t>
      </w:r>
    </w:p>
    <w:p>
      <w:pPr>
        <w:pStyle w:val="6"/>
        <w:spacing w:beforeAutospacing="0" w:afterAutospacing="0" w:line="560" w:lineRule="exact"/>
        <w:ind w:firstLine="640"/>
        <w:jc w:val="both"/>
        <w:rPr>
          <w:rFonts w:ascii="仿宋_GB2312" w:eastAsia="仿宋_GB2312" w:cs="仿宋_GB2312"/>
          <w:color w:val="000000"/>
          <w:sz w:val="32"/>
          <w:szCs w:val="32"/>
        </w:rPr>
      </w:pPr>
      <w:r>
        <w:rPr>
          <w:rFonts w:hint="eastAsia" w:ascii="仿宋_GB2312" w:eastAsia="仿宋_GB2312" w:cs="仿宋_GB2312"/>
          <w:color w:val="000000"/>
          <w:sz w:val="32"/>
          <w:szCs w:val="32"/>
        </w:rPr>
        <w:t>3.主要股东、实际控制人财务状况和诚信记录良好，最近3年无重大违法违规记录；主要股东、实际控制人为公司的，其股权结构应当清晰透明，不存在权属纠纷；</w:t>
      </w:r>
    </w:p>
    <w:p>
      <w:pPr>
        <w:pStyle w:val="6"/>
        <w:spacing w:beforeAutospacing="0" w:afterAutospacing="0" w:line="560" w:lineRule="exact"/>
        <w:ind w:firstLine="640"/>
        <w:jc w:val="both"/>
        <w:rPr>
          <w:rFonts w:ascii="仿宋_GB2312" w:eastAsia="仿宋_GB2312" w:cs="仿宋_GB2312"/>
          <w:color w:val="000000"/>
          <w:sz w:val="32"/>
          <w:szCs w:val="32"/>
        </w:rPr>
      </w:pPr>
      <w:r>
        <w:rPr>
          <w:rFonts w:hint="eastAsia" w:ascii="仿宋_GB2312" w:eastAsia="仿宋_GB2312" w:cs="仿宋_GB2312"/>
          <w:color w:val="000000"/>
          <w:sz w:val="32"/>
          <w:szCs w:val="32"/>
        </w:rPr>
        <w:t>4.拟任董事、监事和高级管理人员熟悉相关法律法规，具有履行职责所需的经营管理能力，最近3年无重大违法违规记录；</w:t>
      </w:r>
    </w:p>
    <w:p>
      <w:pPr>
        <w:pStyle w:val="6"/>
        <w:spacing w:beforeAutospacing="0" w:afterAutospacing="0" w:line="560" w:lineRule="exact"/>
        <w:ind w:firstLine="640"/>
        <w:jc w:val="both"/>
        <w:rPr>
          <w:rFonts w:ascii="仿宋_GB2312" w:eastAsia="仿宋_GB2312" w:cs="仿宋_GB2312"/>
          <w:color w:val="000000"/>
          <w:sz w:val="32"/>
          <w:szCs w:val="32"/>
        </w:rPr>
      </w:pPr>
      <w:r>
        <w:rPr>
          <w:rFonts w:hint="eastAsia" w:ascii="仿宋_GB2312" w:eastAsia="仿宋_GB2312" w:cs="仿宋_GB2312"/>
          <w:color w:val="000000"/>
          <w:sz w:val="32"/>
          <w:szCs w:val="32"/>
        </w:rPr>
        <w:t>5.有符合规定的经营场所、安全保障措施以及业务系统、设施和技术；</w:t>
      </w:r>
    </w:p>
    <w:p>
      <w:pPr>
        <w:pStyle w:val="6"/>
        <w:spacing w:beforeAutospacing="0" w:afterAutospacing="0" w:line="560" w:lineRule="exact"/>
        <w:ind w:firstLine="640"/>
        <w:jc w:val="both"/>
        <w:rPr>
          <w:rFonts w:ascii="仿宋_GB2312" w:eastAsia="仿宋_GB2312" w:cs="仿宋_GB2312"/>
          <w:color w:val="000000"/>
          <w:sz w:val="32"/>
          <w:szCs w:val="32"/>
        </w:rPr>
      </w:pPr>
      <w:r>
        <w:rPr>
          <w:rFonts w:hint="eastAsia" w:ascii="仿宋_GB2312" w:eastAsia="仿宋_GB2312" w:cs="仿宋_GB2312"/>
          <w:color w:val="000000"/>
          <w:sz w:val="32"/>
          <w:szCs w:val="32"/>
        </w:rPr>
        <w:t>6.有健全的公司治理结构、内部控制和风险管理制度、退出预案以及用户权益保障机制；</w:t>
      </w:r>
    </w:p>
    <w:p>
      <w:pPr>
        <w:pStyle w:val="6"/>
        <w:spacing w:beforeAutospacing="0" w:afterAutospacing="0" w:line="560" w:lineRule="exact"/>
        <w:ind w:firstLine="640"/>
        <w:jc w:val="both"/>
        <w:rPr>
          <w:rFonts w:ascii="仿宋_GB2312" w:eastAsia="仿宋_GB2312" w:cs="仿宋_GB2312"/>
          <w:color w:val="000000"/>
          <w:sz w:val="32"/>
          <w:szCs w:val="32"/>
        </w:rPr>
      </w:pPr>
      <w:r>
        <w:rPr>
          <w:rFonts w:hint="eastAsia" w:ascii="仿宋_GB2312" w:eastAsia="仿宋_GB2312" w:cs="仿宋_GB2312"/>
          <w:color w:val="000000"/>
          <w:sz w:val="32"/>
          <w:szCs w:val="32"/>
        </w:rPr>
        <w:t>7.法律、行政法规以及中国人民银行规章规定的其他审慎性条件。其他审慎性条件是指具有良好的资本实力、风险管理能力、业务合规能力等符合审慎经营规则的条件。</w:t>
      </w:r>
    </w:p>
    <w:p>
      <w:pPr>
        <w:pStyle w:val="6"/>
        <w:spacing w:beforeAutospacing="0" w:afterAutospacing="0" w:line="560" w:lineRule="exact"/>
        <w:ind w:firstLine="640"/>
        <w:jc w:val="both"/>
      </w:pPr>
      <w:r>
        <w:rPr>
          <w:rFonts w:hint="eastAsia" w:ascii="楷体_GB2312" w:eastAsia="楷体_GB2312" w:cs="楷体_GB2312"/>
          <w:color w:val="000000"/>
          <w:sz w:val="32"/>
          <w:szCs w:val="32"/>
        </w:rPr>
        <w:t>（二）符合如下条件的，准予批准：</w:t>
      </w:r>
    </w:p>
    <w:p>
      <w:pPr>
        <w:pStyle w:val="6"/>
        <w:spacing w:beforeAutospacing="0" w:afterAutospacing="0" w:line="560" w:lineRule="exact"/>
        <w:ind w:firstLine="640"/>
        <w:jc w:val="both"/>
      </w:pPr>
      <w:r>
        <w:rPr>
          <w:rFonts w:hint="eastAsia" w:ascii="仿宋_GB2312" w:eastAsia="仿宋_GB2312" w:cs="仿宋_GB2312"/>
          <w:color w:val="000000"/>
          <w:sz w:val="32"/>
          <w:szCs w:val="32"/>
        </w:rPr>
        <w:t>1.申请人满足《条例》《实施细则》相关规定，提交的申请材料齐全、符合法定形式。</w:t>
      </w:r>
    </w:p>
    <w:p>
      <w:pPr>
        <w:pStyle w:val="6"/>
        <w:spacing w:beforeAutospacing="0" w:afterAutospacing="0" w:line="560" w:lineRule="exact"/>
        <w:ind w:firstLine="640"/>
        <w:jc w:val="both"/>
      </w:pPr>
      <w:r>
        <w:rPr>
          <w:rFonts w:hint="eastAsia" w:ascii="仿宋_GB2312" w:eastAsia="仿宋_GB2312" w:cs="仿宋_GB2312"/>
          <w:color w:val="000000"/>
          <w:sz w:val="32"/>
          <w:szCs w:val="32"/>
        </w:rPr>
        <w:t>2.符合支付行业发展状况和趋势。</w:t>
      </w:r>
    </w:p>
    <w:p>
      <w:pPr>
        <w:pStyle w:val="6"/>
        <w:spacing w:beforeAutospacing="0" w:afterAutospacing="0" w:line="560" w:lineRule="exact"/>
        <w:ind w:firstLine="640"/>
        <w:jc w:val="both"/>
      </w:pPr>
      <w:r>
        <w:rPr>
          <w:rFonts w:hint="eastAsia" w:ascii="仿宋_GB2312" w:eastAsia="仿宋_GB2312" w:cs="仿宋_GB2312"/>
          <w:color w:val="000000"/>
          <w:sz w:val="32"/>
          <w:szCs w:val="32"/>
        </w:rPr>
        <w:t>3.符合国家政策导向。</w:t>
      </w:r>
    </w:p>
    <w:p>
      <w:pPr>
        <w:pStyle w:val="6"/>
        <w:spacing w:beforeAutospacing="0" w:afterAutospacing="0" w:line="560" w:lineRule="exact"/>
        <w:ind w:firstLine="640"/>
        <w:jc w:val="both"/>
      </w:pPr>
      <w:r>
        <w:rPr>
          <w:rFonts w:hint="eastAsia" w:ascii="楷体_GB2312" w:eastAsia="楷体_GB2312" w:cs="楷体_GB2312"/>
          <w:color w:val="000000"/>
          <w:sz w:val="32"/>
          <w:szCs w:val="32"/>
        </w:rPr>
        <w:t>（三）有如下情形之一的，不予批准：</w:t>
      </w:r>
    </w:p>
    <w:p>
      <w:pPr>
        <w:pStyle w:val="6"/>
        <w:spacing w:beforeAutospacing="0" w:afterAutospacing="0" w:line="560" w:lineRule="exact"/>
        <w:ind w:firstLine="640"/>
        <w:jc w:val="both"/>
      </w:pPr>
      <w:r>
        <w:rPr>
          <w:rFonts w:hint="eastAsia" w:ascii="仿宋_GB2312" w:eastAsia="仿宋_GB2312" w:cs="仿宋_GB2312"/>
          <w:color w:val="000000"/>
          <w:sz w:val="32"/>
          <w:szCs w:val="32"/>
        </w:rPr>
        <w:t>1.申请人提交的申请材料不齐全、或不符合法定形式、或存在明显错误、可信性较差；</w:t>
      </w:r>
    </w:p>
    <w:p>
      <w:pPr>
        <w:pStyle w:val="6"/>
        <w:spacing w:beforeAutospacing="0" w:afterAutospacing="0" w:line="560" w:lineRule="exact"/>
        <w:ind w:firstLine="640"/>
        <w:jc w:val="both"/>
      </w:pPr>
      <w:r>
        <w:rPr>
          <w:rFonts w:hint="eastAsia" w:ascii="仿宋_GB2312" w:eastAsia="仿宋_GB2312" w:cs="仿宋_GB2312"/>
          <w:color w:val="000000"/>
          <w:sz w:val="32"/>
          <w:szCs w:val="32"/>
        </w:rPr>
        <w:t>2.申请不符合法定条件、标准；</w:t>
      </w:r>
    </w:p>
    <w:p>
      <w:pPr>
        <w:pStyle w:val="6"/>
        <w:spacing w:beforeAutospacing="0" w:afterAutospacing="0" w:line="560" w:lineRule="exact"/>
        <w:ind w:firstLine="640"/>
        <w:jc w:val="both"/>
      </w:pPr>
      <w:r>
        <w:rPr>
          <w:rFonts w:hint="eastAsia" w:ascii="仿宋_GB2312" w:eastAsia="仿宋_GB2312" w:cs="仿宋_GB2312"/>
          <w:color w:val="000000"/>
          <w:sz w:val="32"/>
          <w:szCs w:val="32"/>
        </w:rPr>
        <w:t>3.不符合支付行业发展状况和趋势、或不符合国家政策导向的。</w:t>
      </w:r>
    </w:p>
    <w:p>
      <w:pPr>
        <w:pStyle w:val="6"/>
        <w:spacing w:beforeAutospacing="0" w:afterAutospacing="0" w:line="560" w:lineRule="exact"/>
        <w:ind w:firstLine="640"/>
        <w:jc w:val="both"/>
      </w:pPr>
      <w:r>
        <w:rPr>
          <w:rFonts w:hint="eastAsia" w:ascii="黑体" w:hAnsi="宋体" w:eastAsia="黑体"/>
          <w:color w:val="000000"/>
          <w:sz w:val="32"/>
          <w:szCs w:val="32"/>
        </w:rPr>
        <w:t>九、申请材料</w:t>
      </w:r>
    </w:p>
    <w:p>
      <w:pPr>
        <w:pStyle w:val="6"/>
        <w:spacing w:beforeAutospacing="0" w:afterAutospacing="0" w:line="560" w:lineRule="exact"/>
        <w:ind w:firstLine="640"/>
        <w:jc w:val="both"/>
        <w:rPr>
          <w:rFonts w:ascii="仿宋_GB2312" w:eastAsia="仿宋_GB2312" w:cs="仿宋_GB2312"/>
          <w:color w:val="000000"/>
          <w:sz w:val="32"/>
          <w:szCs w:val="32"/>
        </w:rPr>
      </w:pPr>
      <w:r>
        <w:rPr>
          <w:rFonts w:hint="eastAsia" w:ascii="仿宋_GB2312" w:eastAsia="仿宋_GB2312" w:cs="仿宋_GB2312"/>
          <w:color w:val="000000"/>
          <w:sz w:val="32"/>
          <w:szCs w:val="32"/>
        </w:rPr>
        <w:t>申请人可向中国人民银行厦门市分行支付结算部门现场提交以下纸质申请清单（一式三份）与电子申请材料（光盘）：</w:t>
      </w:r>
    </w:p>
    <w:p>
      <w:pPr>
        <w:pStyle w:val="6"/>
        <w:spacing w:beforeAutospacing="0" w:afterAutospacing="0" w:line="560" w:lineRule="exact"/>
        <w:ind w:firstLine="640"/>
        <w:jc w:val="both"/>
      </w:pPr>
      <w:r>
        <w:rPr>
          <w:rFonts w:hint="eastAsia" w:ascii="仿宋_GB2312" w:eastAsia="仿宋_GB2312" w:cs="仿宋_GB2312"/>
          <w:color w:val="000000"/>
          <w:sz w:val="32"/>
          <w:szCs w:val="32"/>
        </w:rPr>
        <w:t>1.书面申请，载明申请人拟设立非银行支付机构的名称、住所、注册资本、拟申请支付业务类型、经营地域范围等；</w:t>
      </w:r>
    </w:p>
    <w:p>
      <w:pPr>
        <w:pStyle w:val="6"/>
        <w:spacing w:beforeAutospacing="0" w:afterAutospacing="0" w:line="560" w:lineRule="exact"/>
        <w:ind w:firstLine="640"/>
        <w:jc w:val="both"/>
      </w:pPr>
      <w:r>
        <w:rPr>
          <w:rFonts w:hint="eastAsia" w:ascii="仿宋_GB2312" w:eastAsia="仿宋_GB2312" w:cs="仿宋_GB2312"/>
          <w:color w:val="000000"/>
          <w:sz w:val="32"/>
          <w:szCs w:val="32"/>
        </w:rPr>
        <w:t>2.公司章程草案；</w:t>
      </w:r>
    </w:p>
    <w:p>
      <w:pPr>
        <w:pStyle w:val="6"/>
        <w:spacing w:beforeAutospacing="0" w:afterAutospacing="0" w:line="560" w:lineRule="exact"/>
        <w:ind w:firstLine="640"/>
        <w:jc w:val="both"/>
      </w:pPr>
      <w:r>
        <w:rPr>
          <w:rFonts w:hint="eastAsia" w:ascii="仿宋_GB2312" w:eastAsia="仿宋_GB2312" w:cs="仿宋_GB2312"/>
          <w:color w:val="000000"/>
          <w:sz w:val="32"/>
          <w:szCs w:val="32"/>
        </w:rPr>
        <w:t>3.验资证明或者公司资本情况材料；</w:t>
      </w:r>
    </w:p>
    <w:p>
      <w:pPr>
        <w:pStyle w:val="6"/>
        <w:spacing w:beforeAutospacing="0" w:afterAutospacing="0" w:line="560" w:lineRule="exact"/>
        <w:ind w:firstLine="640"/>
        <w:jc w:val="both"/>
      </w:pPr>
      <w:r>
        <w:rPr>
          <w:rFonts w:hint="eastAsia" w:ascii="仿宋_GB2312" w:eastAsia="仿宋_GB2312" w:cs="仿宋_GB2312"/>
          <w:color w:val="000000"/>
          <w:sz w:val="32"/>
          <w:szCs w:val="32"/>
        </w:rPr>
        <w:t>4.主要股东、实际控制人材料；</w:t>
      </w:r>
    </w:p>
    <w:p>
      <w:pPr>
        <w:pStyle w:val="6"/>
        <w:spacing w:beforeAutospacing="0" w:afterAutospacing="0" w:line="560" w:lineRule="exact"/>
        <w:ind w:firstLine="640"/>
        <w:jc w:val="both"/>
      </w:pPr>
      <w:r>
        <w:rPr>
          <w:rFonts w:hint="eastAsia" w:ascii="仿宋_GB2312" w:eastAsia="仿宋_GB2312" w:cs="仿宋_GB2312"/>
          <w:color w:val="000000"/>
          <w:sz w:val="32"/>
          <w:szCs w:val="32"/>
        </w:rPr>
        <w:t>5.拟任董事、监事和高级管理人员材料；</w:t>
      </w:r>
    </w:p>
    <w:p>
      <w:pPr>
        <w:pStyle w:val="6"/>
        <w:spacing w:beforeAutospacing="0" w:afterAutospacing="0" w:line="560" w:lineRule="exact"/>
        <w:ind w:firstLine="640"/>
        <w:jc w:val="both"/>
      </w:pPr>
      <w:r>
        <w:rPr>
          <w:rFonts w:hint="eastAsia" w:ascii="仿宋_GB2312" w:eastAsia="仿宋_GB2312" w:cs="仿宋_GB2312"/>
          <w:color w:val="000000"/>
          <w:sz w:val="32"/>
          <w:szCs w:val="32"/>
        </w:rPr>
        <w:t>6.拟设立非银行支付机构的组织机构设置方案、内部控制制度、风险管理制度、退出预案以及用户合法权益保障机制材料；</w:t>
      </w:r>
    </w:p>
    <w:p>
      <w:pPr>
        <w:pStyle w:val="6"/>
        <w:spacing w:beforeAutospacing="0" w:afterAutospacing="0" w:line="560" w:lineRule="exact"/>
        <w:ind w:firstLine="640"/>
        <w:jc w:val="both"/>
      </w:pPr>
      <w:r>
        <w:rPr>
          <w:rFonts w:hint="eastAsia" w:ascii="仿宋_GB2312" w:eastAsia="仿宋_GB2312" w:cs="仿宋_GB2312"/>
          <w:color w:val="000000"/>
          <w:sz w:val="32"/>
          <w:szCs w:val="32"/>
        </w:rPr>
        <w:t>7.支付业务发展规划和可行性研究报告；</w:t>
      </w:r>
    </w:p>
    <w:p>
      <w:pPr>
        <w:pStyle w:val="6"/>
        <w:spacing w:beforeAutospacing="0" w:afterAutospacing="0" w:line="560" w:lineRule="exact"/>
        <w:ind w:firstLine="640"/>
        <w:jc w:val="both"/>
      </w:pPr>
      <w:r>
        <w:rPr>
          <w:rFonts w:hint="eastAsia" w:ascii="仿宋_GB2312" w:eastAsia="仿宋_GB2312" w:cs="仿宋_GB2312"/>
          <w:color w:val="000000"/>
          <w:sz w:val="32"/>
          <w:szCs w:val="32"/>
        </w:rPr>
        <w:t>8.反洗钱和反恐怖融资措施材料；</w:t>
      </w:r>
    </w:p>
    <w:p>
      <w:pPr>
        <w:pStyle w:val="6"/>
        <w:spacing w:beforeAutospacing="0" w:afterAutospacing="0" w:line="560" w:lineRule="exact"/>
        <w:ind w:firstLine="640"/>
        <w:jc w:val="both"/>
      </w:pPr>
      <w:r>
        <w:rPr>
          <w:rFonts w:hint="eastAsia" w:ascii="仿宋_GB2312" w:eastAsia="仿宋_GB2312" w:cs="仿宋_GB2312"/>
          <w:color w:val="000000"/>
          <w:sz w:val="32"/>
          <w:szCs w:val="32"/>
        </w:rPr>
        <w:t>9.支付业务设施材料；</w:t>
      </w:r>
    </w:p>
    <w:p>
      <w:pPr>
        <w:pStyle w:val="6"/>
        <w:spacing w:beforeAutospacing="0" w:afterAutospacing="0" w:line="560" w:lineRule="exact"/>
        <w:ind w:firstLine="640"/>
        <w:jc w:val="both"/>
      </w:pPr>
      <w:r>
        <w:rPr>
          <w:rFonts w:hint="eastAsia" w:ascii="仿宋_GB2312" w:eastAsia="仿宋_GB2312" w:cs="仿宋_GB2312"/>
          <w:color w:val="000000"/>
          <w:sz w:val="32"/>
          <w:szCs w:val="32"/>
        </w:rPr>
        <w:t>10.有符合规定的经营场所材料；</w:t>
      </w:r>
    </w:p>
    <w:p>
      <w:pPr>
        <w:pStyle w:val="6"/>
        <w:spacing w:beforeAutospacing="0" w:afterAutospacing="0" w:line="560" w:lineRule="exact"/>
        <w:ind w:firstLine="640"/>
        <w:jc w:val="both"/>
      </w:pPr>
      <w:r>
        <w:rPr>
          <w:rFonts w:hint="eastAsia" w:ascii="仿宋_GB2312" w:eastAsia="仿宋_GB2312" w:cs="仿宋_GB2312"/>
          <w:color w:val="000000"/>
          <w:sz w:val="32"/>
          <w:szCs w:val="32"/>
        </w:rPr>
        <w:t>11.申请材料真实性声明；</w:t>
      </w:r>
    </w:p>
    <w:p>
      <w:pPr>
        <w:pStyle w:val="6"/>
        <w:spacing w:beforeAutospacing="0" w:afterAutospacing="0" w:line="560" w:lineRule="exact"/>
        <w:ind w:firstLine="640"/>
        <w:jc w:val="both"/>
      </w:pPr>
      <w:r>
        <w:rPr>
          <w:rFonts w:hint="eastAsia" w:ascii="仿宋_GB2312" w:eastAsia="仿宋_GB2312" w:cs="仿宋_GB2312"/>
          <w:color w:val="000000"/>
          <w:sz w:val="32"/>
          <w:szCs w:val="32"/>
        </w:rPr>
        <w:t>12.其他需专门说明的事项材料（如有）。</w:t>
      </w:r>
    </w:p>
    <w:p>
      <w:pPr>
        <w:pStyle w:val="6"/>
        <w:spacing w:beforeAutospacing="0" w:afterAutospacing="0" w:line="560" w:lineRule="exact"/>
        <w:ind w:firstLine="640"/>
        <w:jc w:val="both"/>
      </w:pPr>
      <w:r>
        <w:rPr>
          <w:rFonts w:hint="eastAsia" w:ascii="仿宋_GB2312" w:eastAsia="仿宋_GB2312" w:cs="仿宋_GB2312"/>
          <w:color w:val="000000"/>
          <w:sz w:val="32"/>
          <w:szCs w:val="32"/>
        </w:rPr>
        <w:t>相关材料的具体要求请参见附录1。</w:t>
      </w:r>
    </w:p>
    <w:p>
      <w:pPr>
        <w:pStyle w:val="6"/>
        <w:spacing w:beforeAutospacing="0" w:afterAutospacing="0" w:line="560" w:lineRule="exact"/>
        <w:ind w:firstLine="640" w:firstLineChars="200"/>
        <w:jc w:val="both"/>
      </w:pPr>
      <w:r>
        <w:rPr>
          <w:rFonts w:hint="eastAsia" w:ascii="黑体" w:hAnsi="宋体" w:eastAsia="黑体"/>
          <w:color w:val="000000"/>
          <w:sz w:val="32"/>
          <w:szCs w:val="32"/>
        </w:rPr>
        <w:t>十、申请接收</w:t>
      </w:r>
    </w:p>
    <w:p>
      <w:pPr>
        <w:pStyle w:val="6"/>
        <w:spacing w:beforeAutospacing="0" w:afterAutospacing="0" w:line="560" w:lineRule="exact"/>
        <w:ind w:firstLine="640" w:firstLineChars="200"/>
        <w:jc w:val="both"/>
      </w:pPr>
      <w:r>
        <w:rPr>
          <w:rFonts w:hint="eastAsia" w:ascii="楷体_GB2312" w:eastAsia="楷体_GB2312" w:cs="楷体_GB2312"/>
          <w:color w:val="000000"/>
          <w:sz w:val="32"/>
          <w:szCs w:val="32"/>
        </w:rPr>
        <w:t>（一）接收方式</w:t>
      </w:r>
    </w:p>
    <w:p>
      <w:pPr>
        <w:pStyle w:val="6"/>
        <w:spacing w:beforeAutospacing="0" w:afterAutospacing="0" w:line="560" w:lineRule="exact"/>
        <w:ind w:firstLine="640" w:firstLineChars="200"/>
      </w:pPr>
      <w:r>
        <w:rPr>
          <w:rFonts w:hint="eastAsia" w:ascii="仿宋_GB2312" w:eastAsia="仿宋_GB2312" w:cs="仿宋_GB2312"/>
          <w:color w:val="000000"/>
          <w:sz w:val="32"/>
          <w:szCs w:val="32"/>
        </w:rPr>
        <w:t>中国人民银行厦门市分行支付结算部门现场接收申请材料。</w:t>
      </w:r>
    </w:p>
    <w:p>
      <w:pPr>
        <w:pStyle w:val="6"/>
        <w:spacing w:beforeAutospacing="0" w:afterAutospacing="0" w:line="560" w:lineRule="exact"/>
        <w:ind w:firstLine="640" w:firstLineChars="200"/>
      </w:pPr>
      <w:r>
        <w:rPr>
          <w:rFonts w:hint="eastAsia" w:ascii="楷体_GB2312" w:eastAsia="楷体_GB2312" w:cs="楷体_GB2312"/>
          <w:color w:val="000000"/>
          <w:sz w:val="32"/>
          <w:szCs w:val="32"/>
        </w:rPr>
        <w:t>（二）接收地址</w:t>
      </w:r>
    </w:p>
    <w:p>
      <w:pPr>
        <w:pStyle w:val="6"/>
        <w:spacing w:beforeAutospacing="0" w:afterAutospacing="0" w:line="560" w:lineRule="exact"/>
        <w:ind w:firstLine="64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厦门市思明区展鸿路100号。</w:t>
      </w:r>
    </w:p>
    <w:p>
      <w:pPr>
        <w:pStyle w:val="6"/>
        <w:spacing w:beforeAutospacing="0" w:afterAutospacing="0" w:line="560" w:lineRule="exact"/>
        <w:ind w:firstLine="640"/>
        <w:jc w:val="both"/>
      </w:pPr>
      <w:r>
        <w:rPr>
          <w:rFonts w:hint="eastAsia" w:ascii="黑体" w:hAnsi="宋体" w:eastAsia="黑体"/>
          <w:color w:val="000000"/>
          <w:sz w:val="32"/>
          <w:szCs w:val="32"/>
        </w:rPr>
        <w:t xml:space="preserve">十一、办理流程 </w:t>
      </w:r>
    </w:p>
    <w:p>
      <w:pPr>
        <w:pStyle w:val="6"/>
        <w:widowControl/>
        <w:spacing w:beforeAutospacing="0" w:afterAutospacing="0" w:line="560" w:lineRule="exact"/>
        <w:ind w:firstLine="640"/>
        <w:jc w:val="both"/>
        <w:rPr>
          <w:rFonts w:ascii="仿宋_GB2312" w:eastAsia="仿宋_GB2312" w:cs="仿宋_GB2312"/>
          <w:color w:val="000000"/>
          <w:sz w:val="32"/>
          <w:szCs w:val="32"/>
        </w:rPr>
      </w:pPr>
      <w:r>
        <w:rPr>
          <w:rFonts w:hint="eastAsia" w:ascii="仿宋_GB2312" w:eastAsia="仿宋_GB2312" w:cs="仿宋_GB2312"/>
          <w:color w:val="000000"/>
          <w:sz w:val="32"/>
          <w:szCs w:val="32"/>
        </w:rPr>
        <w:t>详见本服务指南附录2。</w:t>
      </w:r>
    </w:p>
    <w:p>
      <w:pPr>
        <w:pStyle w:val="6"/>
        <w:spacing w:beforeAutospacing="0" w:afterAutospacing="0" w:line="560" w:lineRule="exact"/>
        <w:ind w:firstLine="640"/>
        <w:jc w:val="both"/>
      </w:pPr>
      <w:r>
        <w:rPr>
          <w:rFonts w:hint="eastAsia" w:ascii="黑体" w:hAnsi="宋体" w:eastAsia="黑体"/>
          <w:color w:val="000000"/>
          <w:sz w:val="32"/>
          <w:szCs w:val="32"/>
        </w:rPr>
        <w:t>十二、办理方式</w:t>
      </w:r>
    </w:p>
    <w:p>
      <w:pPr>
        <w:pStyle w:val="6"/>
        <w:spacing w:beforeAutospacing="0" w:afterAutospacing="0" w:line="560" w:lineRule="exact"/>
        <w:ind w:firstLine="640"/>
        <w:jc w:val="both"/>
      </w:pPr>
      <w:r>
        <w:rPr>
          <w:rFonts w:hint="eastAsia" w:ascii="楷体_GB2312" w:eastAsia="楷体_GB2312" w:cs="楷体_GB2312"/>
          <w:color w:val="000000"/>
          <w:sz w:val="32"/>
          <w:szCs w:val="32"/>
        </w:rPr>
        <w:t>（一）接收申请材料</w:t>
      </w:r>
    </w:p>
    <w:p>
      <w:pPr>
        <w:pStyle w:val="6"/>
        <w:widowControl/>
        <w:spacing w:beforeAutospacing="0" w:afterAutospacing="0" w:line="560" w:lineRule="exact"/>
        <w:ind w:firstLine="640"/>
        <w:jc w:val="both"/>
      </w:pPr>
      <w:r>
        <w:rPr>
          <w:rFonts w:hint="eastAsia" w:ascii="仿宋_GB2312" w:eastAsia="仿宋_GB2312" w:cs="仿宋_GB2312"/>
          <w:color w:val="000000"/>
          <w:sz w:val="32"/>
          <w:szCs w:val="32"/>
        </w:rPr>
        <w:t>1.中国人民银行厦门市分行接收申请人提交的申请材料，并清点材料数量。</w:t>
      </w:r>
    </w:p>
    <w:p>
      <w:pPr>
        <w:pStyle w:val="6"/>
        <w:widowControl/>
        <w:spacing w:beforeAutospacing="0" w:afterAutospacing="0" w:line="560" w:lineRule="exact"/>
        <w:ind w:firstLine="640"/>
        <w:jc w:val="both"/>
      </w:pPr>
      <w:r>
        <w:rPr>
          <w:rFonts w:hint="eastAsia" w:ascii="仿宋_GB2312" w:eastAsia="仿宋_GB2312" w:cs="仿宋_GB2312"/>
          <w:color w:val="000000"/>
          <w:sz w:val="32"/>
          <w:szCs w:val="32"/>
        </w:rPr>
        <w:t>2.清点无误的，中国人民银行厦门市分行向申请人出具材料接收凭证。</w:t>
      </w:r>
    </w:p>
    <w:p>
      <w:pPr>
        <w:pStyle w:val="6"/>
        <w:widowControl/>
        <w:spacing w:beforeAutospacing="0" w:afterAutospacing="0" w:line="560" w:lineRule="exact"/>
        <w:ind w:firstLine="640"/>
        <w:jc w:val="both"/>
      </w:pPr>
      <w:r>
        <w:rPr>
          <w:rFonts w:hint="eastAsia" w:ascii="楷体_GB2312" w:eastAsia="楷体_GB2312" w:cs="楷体_GB2312"/>
          <w:color w:val="000000"/>
          <w:sz w:val="32"/>
          <w:szCs w:val="32"/>
        </w:rPr>
        <w:t>（二）出具受理意见</w:t>
      </w:r>
    </w:p>
    <w:p>
      <w:pPr>
        <w:pStyle w:val="6"/>
        <w:widowControl/>
        <w:spacing w:beforeAutospacing="0" w:afterAutospacing="0" w:line="560" w:lineRule="exact"/>
        <w:ind w:firstLine="640"/>
        <w:jc w:val="both"/>
      </w:pPr>
      <w:r>
        <w:rPr>
          <w:rFonts w:hint="eastAsia" w:ascii="仿宋_GB2312" w:eastAsia="仿宋_GB2312" w:cs="仿宋_GB2312"/>
          <w:color w:val="000000"/>
          <w:sz w:val="32"/>
          <w:szCs w:val="32"/>
        </w:rPr>
        <w:t>中国人民银行厦门市分行对申请材料进行初步审核，视以下不同情况出具受理意见：</w:t>
      </w:r>
    </w:p>
    <w:p>
      <w:pPr>
        <w:pStyle w:val="6"/>
        <w:widowControl/>
        <w:spacing w:beforeAutospacing="0" w:afterAutospacing="0" w:line="560" w:lineRule="exact"/>
        <w:ind w:firstLine="640"/>
        <w:jc w:val="both"/>
      </w:pPr>
      <w:r>
        <w:rPr>
          <w:rFonts w:hint="eastAsia" w:ascii="仿宋_GB2312" w:eastAsia="仿宋_GB2312" w:cs="仿宋_GB2312"/>
          <w:color w:val="000000"/>
          <w:sz w:val="32"/>
          <w:szCs w:val="32"/>
        </w:rPr>
        <w:t>1.对于申请材料不齐全或者不符合法定形式或者存在错误不能当场更正的，应当向申请人送达行政许可补正告知书，告知申请人需要补正的全部材料、补正期限。</w:t>
      </w:r>
    </w:p>
    <w:p>
      <w:pPr>
        <w:pStyle w:val="6"/>
        <w:widowControl/>
        <w:spacing w:beforeAutospacing="0" w:afterAutospacing="0" w:line="560" w:lineRule="exact"/>
        <w:ind w:firstLine="640"/>
        <w:jc w:val="both"/>
      </w:pPr>
      <w:r>
        <w:rPr>
          <w:rFonts w:hint="eastAsia" w:ascii="仿宋_GB2312" w:eastAsia="仿宋_GB2312" w:cs="仿宋_GB2312"/>
          <w:color w:val="000000"/>
          <w:sz w:val="32"/>
          <w:szCs w:val="32"/>
        </w:rPr>
        <w:t>2.对于申请材料齐全、符合法定形式的，应当向申请人送达《行政许可受理通知书》，并通知申请人及时按规定进行公告。</w:t>
      </w:r>
    </w:p>
    <w:p>
      <w:pPr>
        <w:pStyle w:val="6"/>
        <w:widowControl/>
        <w:spacing w:beforeAutospacing="0" w:afterAutospacing="0" w:line="560" w:lineRule="exact"/>
        <w:ind w:firstLine="640"/>
        <w:jc w:val="both"/>
      </w:pPr>
      <w:r>
        <w:rPr>
          <w:rFonts w:hint="eastAsia" w:ascii="仿宋_GB2312" w:eastAsia="仿宋_GB2312" w:cs="仿宋_GB2312"/>
          <w:color w:val="000000"/>
          <w:sz w:val="32"/>
          <w:szCs w:val="32"/>
        </w:rPr>
        <w:t>3.对于申请事项依法不属于中国人民银行职权范围，或者申请人提供的补正材料不齐全、不符合法定形式的，应当及时作出不予受理的决定，向申请人送达不予受理行政许可决定书。</w:t>
      </w:r>
    </w:p>
    <w:p>
      <w:pPr>
        <w:pStyle w:val="6"/>
        <w:widowControl/>
        <w:spacing w:beforeAutospacing="0" w:afterAutospacing="0" w:line="560" w:lineRule="exact"/>
        <w:ind w:firstLine="640"/>
        <w:jc w:val="both"/>
      </w:pPr>
      <w:r>
        <w:rPr>
          <w:rFonts w:hint="eastAsia" w:ascii="仿宋_GB2312" w:eastAsia="仿宋_GB2312" w:cs="仿宋_GB2312"/>
          <w:color w:val="000000"/>
          <w:sz w:val="32"/>
          <w:szCs w:val="32"/>
        </w:rPr>
        <w:t>对于受理、不予受理或者要求补正申请材料的通知书，应当自相关文书作出之日起5个工作日内送达当事人。</w:t>
      </w:r>
    </w:p>
    <w:p>
      <w:pPr>
        <w:pStyle w:val="6"/>
        <w:spacing w:beforeAutospacing="0" w:afterAutospacing="0" w:line="560" w:lineRule="exact"/>
        <w:ind w:firstLine="640" w:firstLineChars="200"/>
        <w:jc w:val="both"/>
      </w:pPr>
      <w:r>
        <w:rPr>
          <w:rFonts w:hint="eastAsia" w:ascii="楷体_GB2312" w:eastAsia="楷体_GB2312" w:cs="楷体_GB2312"/>
          <w:color w:val="000000"/>
          <w:sz w:val="32"/>
          <w:szCs w:val="32"/>
        </w:rPr>
        <w:t>（三）中国人民银行厦门市分行初审</w:t>
      </w:r>
    </w:p>
    <w:p>
      <w:pPr>
        <w:pStyle w:val="6"/>
        <w:widowControl/>
        <w:spacing w:beforeAutospacing="0" w:afterAutospacing="0" w:line="560" w:lineRule="exact"/>
        <w:ind w:firstLine="640"/>
        <w:jc w:val="both"/>
      </w:pPr>
      <w:r>
        <w:rPr>
          <w:rFonts w:hint="eastAsia" w:ascii="仿宋_GB2312" w:eastAsia="仿宋_GB2312" w:cs="仿宋_GB2312"/>
          <w:color w:val="000000"/>
          <w:sz w:val="32"/>
          <w:szCs w:val="32"/>
        </w:rPr>
        <w:t>中国人民银行厦门市分行对申请材料进行审核，组织对申请人进行现场核查，并提前告知申请人有关核查事项。现场检查应通过询问工作人员、调阅档案资料、实地调查确认等方式开展。结合材料审核、现场核查相关情况和公众反馈信息，中国人民银行厦门市分行形成支付业务许可审查初审意见报送中国人民银行总行。</w:t>
      </w:r>
    </w:p>
    <w:p>
      <w:pPr>
        <w:pStyle w:val="6"/>
        <w:spacing w:beforeAutospacing="0" w:afterAutospacing="0" w:line="560" w:lineRule="exact"/>
        <w:ind w:firstLine="640"/>
      </w:pPr>
      <w:r>
        <w:rPr>
          <w:rFonts w:hint="eastAsia" w:ascii="楷体_GB2312" w:eastAsia="楷体_GB2312" w:cs="楷体_GB2312"/>
          <w:color w:val="000000"/>
          <w:sz w:val="32"/>
          <w:szCs w:val="32"/>
        </w:rPr>
        <w:t>（四）中国人民银行总行复审</w:t>
      </w:r>
    </w:p>
    <w:p>
      <w:pPr>
        <w:pStyle w:val="6"/>
        <w:spacing w:beforeAutospacing="0" w:afterAutospacing="0" w:line="560" w:lineRule="exact"/>
        <w:ind w:firstLine="640"/>
      </w:pPr>
      <w:r>
        <w:rPr>
          <w:rFonts w:hint="eastAsia" w:ascii="仿宋_GB2312" w:eastAsia="仿宋_GB2312" w:cs="仿宋_GB2312"/>
          <w:color w:val="000000"/>
          <w:sz w:val="32"/>
          <w:szCs w:val="32"/>
        </w:rPr>
        <w:t>中国人民银行总行组织对申请材料进行复审，结合中国人民银行厦门市分行初审意见和公众反馈信息，形成最终审批结果。</w:t>
      </w:r>
    </w:p>
    <w:p>
      <w:pPr>
        <w:pStyle w:val="6"/>
        <w:spacing w:beforeAutospacing="0" w:afterAutospacing="0" w:line="560" w:lineRule="exact"/>
        <w:ind w:firstLine="640"/>
      </w:pPr>
      <w:r>
        <w:rPr>
          <w:rFonts w:hint="eastAsia" w:ascii="楷体_GB2312" w:eastAsia="楷体_GB2312" w:cs="楷体_GB2312"/>
          <w:color w:val="000000"/>
          <w:sz w:val="32"/>
          <w:szCs w:val="32"/>
        </w:rPr>
        <w:t>（五）下达行政许可决定</w:t>
      </w:r>
    </w:p>
    <w:p>
      <w:pPr>
        <w:pStyle w:val="6"/>
        <w:spacing w:beforeAutospacing="0" w:afterAutospacing="0" w:line="560" w:lineRule="exact"/>
        <w:ind w:firstLine="640"/>
        <w:jc w:val="both"/>
      </w:pPr>
      <w:r>
        <w:rPr>
          <w:rFonts w:hint="eastAsia" w:ascii="仿宋_GB2312" w:eastAsia="仿宋_GB2312" w:cs="仿宋_GB2312"/>
          <w:color w:val="000000"/>
          <w:sz w:val="32"/>
          <w:szCs w:val="32"/>
        </w:rPr>
        <w:t>中国人民银行总行根据审批结果，依法制作相应的行政许可决定文书，并及时送达申请人。</w:t>
      </w:r>
    </w:p>
    <w:p>
      <w:pPr>
        <w:pStyle w:val="6"/>
        <w:widowControl/>
        <w:spacing w:beforeAutospacing="0" w:afterAutospacing="0" w:line="560" w:lineRule="exact"/>
        <w:ind w:firstLine="640"/>
        <w:jc w:val="both"/>
      </w:pPr>
      <w:r>
        <w:rPr>
          <w:rFonts w:hint="eastAsia" w:ascii="黑体" w:hAnsi="宋体" w:eastAsia="黑体"/>
          <w:color w:val="000000"/>
          <w:sz w:val="32"/>
          <w:szCs w:val="32"/>
        </w:rPr>
        <w:t>十三、办结时限</w:t>
      </w:r>
    </w:p>
    <w:p>
      <w:pPr>
        <w:pStyle w:val="6"/>
        <w:widowControl/>
        <w:spacing w:beforeAutospacing="0" w:afterAutospacing="0" w:line="560" w:lineRule="exact"/>
        <w:ind w:firstLine="600"/>
        <w:jc w:val="both"/>
        <w:rPr>
          <w:rFonts w:ascii="仿宋_GB2312" w:eastAsia="仿宋_GB2312" w:cs="仿宋_GB2312"/>
          <w:color w:val="000000"/>
          <w:sz w:val="32"/>
          <w:szCs w:val="32"/>
        </w:rPr>
      </w:pPr>
      <w:r>
        <w:rPr>
          <w:rFonts w:hint="eastAsia" w:ascii="仿宋_GB2312" w:eastAsia="仿宋_GB2312" w:cs="仿宋_GB2312"/>
          <w:color w:val="000000"/>
          <w:sz w:val="32"/>
          <w:szCs w:val="32"/>
        </w:rPr>
        <w:t>自受理申请之日起6个月内作出批准或者不予批准的书面决定。其中，《中国人民银行行政许可实施办法》（中国人民银行令〔2020〕第1号发布）第三十三条规定的相关程序不计入时限。</w:t>
      </w:r>
    </w:p>
    <w:p>
      <w:pPr>
        <w:pStyle w:val="6"/>
        <w:numPr>
          <w:ilvl w:val="0"/>
          <w:numId w:val="1"/>
        </w:numPr>
        <w:spacing w:beforeAutospacing="0" w:afterAutospacing="0" w:line="560" w:lineRule="exact"/>
        <w:ind w:firstLine="640"/>
        <w:jc w:val="both"/>
        <w:rPr>
          <w:rFonts w:ascii="黑体" w:hAnsi="宋体" w:eastAsia="黑体"/>
          <w:color w:val="000000"/>
          <w:sz w:val="32"/>
          <w:szCs w:val="32"/>
        </w:rPr>
      </w:pPr>
      <w:r>
        <w:rPr>
          <w:rFonts w:hint="eastAsia" w:ascii="黑体" w:hAnsi="宋体" w:eastAsia="黑体"/>
          <w:color w:val="000000"/>
          <w:sz w:val="32"/>
          <w:szCs w:val="32"/>
        </w:rPr>
        <w:t>收费</w:t>
      </w:r>
      <w:r>
        <w:rPr>
          <w:rFonts w:hint="eastAsia" w:ascii="黑体" w:hAnsi="黑体" w:eastAsia="黑体"/>
          <w:bCs/>
          <w:sz w:val="32"/>
          <w:szCs w:val="32"/>
        </w:rPr>
        <w:t>依据及</w:t>
      </w:r>
      <w:r>
        <w:rPr>
          <w:rFonts w:hint="eastAsia" w:ascii="黑体" w:hAnsi="宋体" w:eastAsia="黑体"/>
          <w:color w:val="000000"/>
          <w:sz w:val="32"/>
          <w:szCs w:val="32"/>
        </w:rPr>
        <w:t>标准</w:t>
      </w:r>
    </w:p>
    <w:p>
      <w:pPr>
        <w:pStyle w:val="6"/>
        <w:spacing w:beforeAutospacing="0" w:afterAutospacing="0" w:line="560" w:lineRule="exact"/>
        <w:ind w:firstLine="640" w:firstLineChars="200"/>
        <w:jc w:val="both"/>
        <w:rPr>
          <w:rFonts w:hint="eastAsia" w:ascii="仿宋_GB2312" w:eastAsia="仿宋_GB2312" w:cs="仿宋_GB2312"/>
          <w:color w:val="000000"/>
          <w:sz w:val="32"/>
          <w:szCs w:val="32"/>
        </w:rPr>
      </w:pPr>
      <w:r>
        <w:rPr>
          <w:rFonts w:hint="eastAsia" w:ascii="仿宋_GB2312" w:eastAsia="仿宋_GB2312" w:cs="仿宋_GB2312"/>
          <w:color w:val="000000"/>
          <w:sz w:val="32"/>
          <w:szCs w:val="32"/>
        </w:rPr>
        <w:t>不收费。</w:t>
      </w:r>
    </w:p>
    <w:p>
      <w:pPr>
        <w:pStyle w:val="6"/>
        <w:spacing w:beforeAutospacing="0" w:afterAutospacing="0" w:line="560" w:lineRule="exact"/>
        <w:ind w:firstLine="640" w:firstLineChars="200"/>
        <w:jc w:val="both"/>
        <w:rPr>
          <w:rFonts w:ascii="黑体" w:hAnsi="宋体" w:eastAsia="黑体"/>
          <w:color w:val="000000"/>
          <w:sz w:val="32"/>
          <w:szCs w:val="32"/>
        </w:rPr>
      </w:pPr>
      <w:r>
        <w:rPr>
          <w:rFonts w:hint="eastAsia" w:ascii="黑体" w:hAnsi="宋体" w:eastAsia="黑体"/>
          <w:color w:val="000000"/>
          <w:sz w:val="32"/>
          <w:szCs w:val="32"/>
        </w:rPr>
        <w:t>十五、审批结果和送达方式</w:t>
      </w:r>
    </w:p>
    <w:p>
      <w:pPr>
        <w:pStyle w:val="6"/>
        <w:spacing w:beforeAutospacing="0" w:afterAutospacing="0" w:line="560" w:lineRule="exact"/>
        <w:ind w:firstLine="640"/>
        <w:jc w:val="both"/>
      </w:pPr>
      <w:r>
        <w:rPr>
          <w:rFonts w:hint="eastAsia" w:ascii="仿宋_GB2312" w:eastAsia="仿宋_GB2312" w:cs="仿宋_GB2312"/>
          <w:color w:val="000000"/>
          <w:sz w:val="32"/>
          <w:szCs w:val="32"/>
        </w:rPr>
        <w:t>中国人民银行总行作出行政许可决定后，在10个工作日内，通过中国人民银行网站公告</w:t>
      </w:r>
      <w:r>
        <w:rPr>
          <w:rFonts w:hint="eastAsia" w:ascii="仿宋_GB2312" w:eastAsia="仿宋_GB2312" w:cs="仿宋_GB2312"/>
          <w:color w:val="000000"/>
          <w:sz w:val="32"/>
          <w:szCs w:val="32"/>
          <w:lang w:eastAsia="zh-CN"/>
        </w:rPr>
        <w:t>、</w:t>
      </w:r>
      <w:r>
        <w:rPr>
          <w:rFonts w:hint="eastAsia" w:ascii="仿宋_GB2312" w:eastAsia="仿宋_GB2312" w:cs="仿宋_GB2312"/>
          <w:color w:val="000000"/>
          <w:sz w:val="32"/>
          <w:szCs w:val="32"/>
        </w:rPr>
        <w:t>中国人民银行厦门市分行</w:t>
      </w:r>
      <w:r>
        <w:rPr>
          <w:rFonts w:hint="eastAsia" w:ascii="仿宋_GB2312" w:eastAsia="仿宋_GB2312" w:cs="仿宋_GB2312"/>
          <w:color w:val="000000"/>
          <w:sz w:val="32"/>
          <w:szCs w:val="32"/>
          <w:lang w:eastAsia="zh-CN"/>
        </w:rPr>
        <w:t>转送</w:t>
      </w:r>
      <w:r>
        <w:rPr>
          <w:rFonts w:hint="eastAsia" w:ascii="仿宋_GB2312" w:eastAsia="仿宋_GB2312" w:cs="仿宋_GB2312"/>
          <w:color w:val="000000"/>
          <w:sz w:val="32"/>
          <w:szCs w:val="32"/>
        </w:rPr>
        <w:t>等方式通知或告知申请人行政许可决定</w:t>
      </w:r>
      <w:r>
        <w:rPr>
          <w:rFonts w:hint="eastAsia" w:ascii="仿宋_GB2312" w:eastAsia="仿宋_GB2312" w:cs="仿宋_GB2312"/>
          <w:color w:val="000000"/>
          <w:sz w:val="32"/>
          <w:szCs w:val="32"/>
          <w:lang w:eastAsia="zh-CN"/>
        </w:rPr>
        <w:t>情况</w:t>
      </w:r>
      <w:r>
        <w:rPr>
          <w:rFonts w:hint="eastAsia" w:ascii="仿宋_GB2312" w:eastAsia="仿宋_GB2312" w:cs="仿宋_GB2312"/>
          <w:color w:val="000000"/>
          <w:sz w:val="32"/>
          <w:szCs w:val="32"/>
        </w:rPr>
        <w:t>。</w:t>
      </w:r>
    </w:p>
    <w:p>
      <w:pPr>
        <w:pStyle w:val="6"/>
        <w:spacing w:beforeAutospacing="0" w:afterAutospacing="0" w:line="560" w:lineRule="exact"/>
        <w:ind w:firstLine="640"/>
        <w:jc w:val="both"/>
      </w:pPr>
      <w:r>
        <w:rPr>
          <w:rFonts w:hint="eastAsia" w:ascii="黑体" w:hAnsi="宋体" w:eastAsia="黑体"/>
          <w:color w:val="000000"/>
          <w:sz w:val="32"/>
          <w:szCs w:val="32"/>
        </w:rPr>
        <w:t>十六、行政相对人权利和义务</w:t>
      </w:r>
    </w:p>
    <w:p>
      <w:pPr>
        <w:pStyle w:val="6"/>
        <w:spacing w:beforeAutospacing="0" w:afterAutospacing="0" w:line="560" w:lineRule="exact"/>
        <w:ind w:firstLine="640"/>
        <w:jc w:val="both"/>
      </w:pPr>
      <w:r>
        <w:rPr>
          <w:rFonts w:hint="eastAsia" w:ascii="楷体_GB2312" w:eastAsia="楷体_GB2312" w:cs="楷体_GB2312"/>
          <w:color w:val="000000"/>
          <w:sz w:val="32"/>
          <w:szCs w:val="32"/>
        </w:rPr>
        <w:t>（一）依据《中华人民共和国行政许可法》等，申请人依法享有以下权利：</w:t>
      </w:r>
    </w:p>
    <w:p>
      <w:pPr>
        <w:pStyle w:val="6"/>
        <w:spacing w:beforeAutospacing="0" w:afterAutospacing="0" w:line="560" w:lineRule="exact"/>
        <w:ind w:firstLine="640"/>
        <w:jc w:val="both"/>
      </w:pPr>
      <w:r>
        <w:rPr>
          <w:rFonts w:hint="eastAsia" w:ascii="仿宋_GB2312" w:eastAsia="仿宋_GB2312" w:cs="仿宋_GB2312"/>
          <w:color w:val="000000"/>
          <w:sz w:val="32"/>
          <w:szCs w:val="32"/>
        </w:rPr>
        <w:t>1.依法取得行政许可的平等权利。</w:t>
      </w:r>
    </w:p>
    <w:p>
      <w:pPr>
        <w:pStyle w:val="6"/>
        <w:spacing w:beforeAutospacing="0" w:afterAutospacing="0" w:line="560" w:lineRule="exact"/>
        <w:ind w:firstLine="640"/>
        <w:jc w:val="both"/>
      </w:pPr>
      <w:r>
        <w:rPr>
          <w:rFonts w:hint="eastAsia" w:ascii="仿宋_GB2312" w:eastAsia="仿宋_GB2312" w:cs="仿宋_GB2312"/>
          <w:color w:val="000000"/>
          <w:sz w:val="32"/>
          <w:szCs w:val="32"/>
        </w:rPr>
        <w:t>2.依法申请行政复议和行政诉讼的权利。</w:t>
      </w:r>
    </w:p>
    <w:p>
      <w:pPr>
        <w:pStyle w:val="6"/>
        <w:spacing w:beforeAutospacing="0" w:afterAutospacing="0" w:line="560" w:lineRule="exact"/>
        <w:ind w:firstLine="640"/>
        <w:jc w:val="both"/>
      </w:pPr>
      <w:r>
        <w:rPr>
          <w:rFonts w:hint="eastAsia" w:ascii="楷体_GB2312" w:eastAsia="楷体_GB2312" w:cs="楷体_GB2312"/>
          <w:color w:val="000000"/>
          <w:sz w:val="32"/>
          <w:szCs w:val="32"/>
        </w:rPr>
        <w:t>（二）依据《中华人民共和国行政许可法》等，申请人依法履行以下义务：</w:t>
      </w:r>
    </w:p>
    <w:p>
      <w:pPr>
        <w:pStyle w:val="6"/>
        <w:spacing w:beforeAutospacing="0" w:afterAutospacing="0" w:line="560" w:lineRule="exact"/>
        <w:ind w:firstLine="640"/>
        <w:jc w:val="both"/>
      </w:pPr>
      <w:r>
        <w:rPr>
          <w:rFonts w:hint="eastAsia" w:ascii="仿宋_GB2312" w:eastAsia="仿宋_GB2312" w:cs="仿宋_GB2312"/>
          <w:color w:val="000000"/>
          <w:sz w:val="32"/>
          <w:szCs w:val="32"/>
        </w:rPr>
        <w:t>1.保证申请材料实质内容的真实、准确和完整，无虚假记载、误导性陈述或重大遗漏；</w:t>
      </w:r>
    </w:p>
    <w:p>
      <w:pPr>
        <w:pStyle w:val="6"/>
        <w:spacing w:beforeAutospacing="0" w:afterAutospacing="0" w:line="560" w:lineRule="exact"/>
        <w:ind w:firstLine="640"/>
        <w:jc w:val="both"/>
      </w:pPr>
      <w:r>
        <w:rPr>
          <w:rFonts w:hint="eastAsia" w:ascii="仿宋_GB2312" w:eastAsia="仿宋_GB2312" w:cs="仿宋_GB2312"/>
          <w:color w:val="000000"/>
          <w:sz w:val="32"/>
          <w:szCs w:val="32"/>
        </w:rPr>
        <w:t>2.配合人民银行工作人员做好材料签收交接手续；</w:t>
      </w:r>
    </w:p>
    <w:p>
      <w:pPr>
        <w:pStyle w:val="6"/>
        <w:spacing w:beforeAutospacing="0" w:afterAutospacing="0" w:line="560" w:lineRule="exact"/>
        <w:ind w:firstLine="640"/>
        <w:jc w:val="both"/>
      </w:pPr>
      <w:r>
        <w:rPr>
          <w:rFonts w:hint="eastAsia" w:ascii="仿宋_GB2312" w:eastAsia="仿宋_GB2312" w:cs="仿宋_GB2312"/>
          <w:color w:val="000000"/>
          <w:sz w:val="32"/>
          <w:szCs w:val="32"/>
        </w:rPr>
        <w:t>3.按要求及时补正申请材料。</w:t>
      </w:r>
    </w:p>
    <w:p>
      <w:pPr>
        <w:pStyle w:val="6"/>
        <w:spacing w:beforeAutospacing="0" w:afterAutospacing="0" w:line="560" w:lineRule="exact"/>
        <w:ind w:firstLine="640" w:firstLineChars="200"/>
        <w:jc w:val="both"/>
      </w:pPr>
      <w:r>
        <w:rPr>
          <w:rFonts w:hint="eastAsia" w:ascii="黑体" w:hAnsi="宋体" w:eastAsia="黑体"/>
          <w:color w:val="000000"/>
          <w:sz w:val="32"/>
          <w:szCs w:val="32"/>
        </w:rPr>
        <w:t>十七、咨询途径</w:t>
      </w:r>
    </w:p>
    <w:p>
      <w:pPr>
        <w:pStyle w:val="6"/>
        <w:widowControl/>
        <w:spacing w:beforeAutospacing="0" w:afterAutospacing="0" w:line="560" w:lineRule="exact"/>
        <w:ind w:firstLine="640" w:firstLineChars="200"/>
        <w:jc w:val="both"/>
      </w:pPr>
      <w:r>
        <w:rPr>
          <w:rFonts w:hint="eastAsia" w:ascii="仿宋_GB2312" w:eastAsia="仿宋_GB2312" w:cs="仿宋_GB2312"/>
          <w:color w:val="000000"/>
          <w:sz w:val="32"/>
          <w:szCs w:val="32"/>
        </w:rPr>
        <w:t>中国人民银行厦门市分行支付结算部门，联系电话：</w:t>
      </w:r>
      <w:r>
        <w:rPr>
          <w:rFonts w:ascii="仿宋_GB2312" w:hAnsi="仿宋_GB2312" w:eastAsia="仿宋_GB2312" w:cs="仿宋_GB2312"/>
          <w:sz w:val="32"/>
          <w:szCs w:val="32"/>
        </w:rPr>
        <w:t>0592-5854292</w:t>
      </w:r>
      <w:r>
        <w:rPr>
          <w:rFonts w:hint="eastAsia" w:ascii="仿宋_GB2312" w:hAnsi="仿宋_GB2312" w:eastAsia="仿宋_GB2312" w:cs="仿宋_GB2312"/>
          <w:sz w:val="32"/>
          <w:szCs w:val="32"/>
        </w:rPr>
        <w:t>。</w:t>
      </w:r>
    </w:p>
    <w:p>
      <w:pPr>
        <w:pStyle w:val="6"/>
        <w:spacing w:beforeAutospacing="0" w:afterAutospacing="0" w:line="560" w:lineRule="exact"/>
        <w:ind w:firstLine="640" w:firstLineChars="200"/>
        <w:jc w:val="both"/>
      </w:pPr>
      <w:r>
        <w:rPr>
          <w:rFonts w:hint="eastAsia" w:ascii="黑体" w:hAnsi="宋体" w:eastAsia="黑体"/>
          <w:color w:val="000000"/>
          <w:sz w:val="32"/>
          <w:szCs w:val="32"/>
        </w:rPr>
        <w:t>十八、监督投诉渠道</w:t>
      </w:r>
    </w:p>
    <w:p>
      <w:pPr>
        <w:spacing w:line="560" w:lineRule="exact"/>
        <w:ind w:firstLine="640" w:firstLineChars="200"/>
      </w:pPr>
      <w:r>
        <w:rPr>
          <w:rFonts w:hint="eastAsia" w:ascii="仿宋_GB2312" w:eastAsia="仿宋_GB2312" w:cs="仿宋_GB2312"/>
          <w:color w:val="000000"/>
          <w:kern w:val="0"/>
          <w:sz w:val="32"/>
          <w:szCs w:val="32"/>
        </w:rPr>
        <w:t>信函投诉：</w:t>
      </w:r>
      <w:r>
        <w:rPr>
          <w:rFonts w:hint="eastAsia" w:ascii="仿宋_GB2312" w:hAnsi="仿宋_GB2312" w:eastAsia="仿宋_GB2312" w:cs="仿宋_GB2312"/>
          <w:sz w:val="32"/>
          <w:szCs w:val="32"/>
        </w:rPr>
        <w:t>厦门市思明区展鸿路100号</w:t>
      </w:r>
      <w:r>
        <w:rPr>
          <w:rFonts w:hint="eastAsia" w:ascii="仿宋_GB2312" w:eastAsia="仿宋_GB2312" w:cs="仿宋_GB2312"/>
          <w:color w:val="000000"/>
          <w:kern w:val="0"/>
          <w:sz w:val="32"/>
          <w:szCs w:val="32"/>
        </w:rPr>
        <w:t>（通讯地址），361008（邮编）。</w:t>
      </w:r>
    </w:p>
    <w:p>
      <w:pPr>
        <w:pStyle w:val="6"/>
        <w:spacing w:beforeAutospacing="0" w:afterAutospacing="0" w:line="560" w:lineRule="exact"/>
        <w:ind w:firstLine="640" w:firstLineChars="200"/>
        <w:jc w:val="both"/>
      </w:pPr>
      <w:r>
        <w:rPr>
          <w:rFonts w:hint="eastAsia" w:ascii="黑体" w:hAnsi="宋体" w:eastAsia="黑体"/>
          <w:color w:val="000000"/>
          <w:sz w:val="32"/>
          <w:szCs w:val="32"/>
        </w:rPr>
        <w:t>十九、办公地址和时间</w:t>
      </w:r>
      <w:r>
        <w:rPr>
          <w:rFonts w:hint="eastAsia" w:ascii="仿宋_GB2312" w:eastAsia="仿宋_GB2312" w:cs="仿宋_GB2312"/>
          <w:color w:val="000000"/>
          <w:sz w:val="32"/>
          <w:szCs w:val="32"/>
        </w:rPr>
        <w:t> </w:t>
      </w:r>
    </w:p>
    <w:p>
      <w:pPr>
        <w:pStyle w:val="6"/>
        <w:spacing w:beforeAutospacing="0" w:afterAutospacing="0" w:line="560" w:lineRule="exact"/>
        <w:ind w:firstLine="640" w:firstLineChars="200"/>
        <w:jc w:val="both"/>
      </w:pPr>
      <w:r>
        <w:rPr>
          <w:rFonts w:hint="eastAsia" w:ascii="仿宋_GB2312" w:eastAsia="仿宋_GB2312" w:cs="仿宋_GB2312"/>
          <w:color w:val="000000"/>
          <w:sz w:val="32"/>
          <w:szCs w:val="32"/>
        </w:rPr>
        <w:t>办公地址：</w:t>
      </w:r>
      <w:r>
        <w:rPr>
          <w:rFonts w:hint="eastAsia" w:ascii="仿宋_GB2312" w:hAnsi="仿宋_GB2312" w:eastAsia="仿宋_GB2312" w:cs="仿宋_GB2312"/>
          <w:sz w:val="32"/>
          <w:szCs w:val="32"/>
        </w:rPr>
        <w:t>厦门市思明区展鸿路100号。</w:t>
      </w:r>
    </w:p>
    <w:p>
      <w:pPr>
        <w:pStyle w:val="6"/>
        <w:spacing w:beforeAutospacing="0" w:afterAutospacing="0" w:line="560" w:lineRule="exact"/>
        <w:ind w:firstLine="640" w:firstLineChars="200"/>
        <w:jc w:val="both"/>
        <w:rPr>
          <w:rFonts w:ascii="仿宋_GB2312" w:eastAsia="仿宋_GB2312" w:cs="仿宋_GB2312"/>
          <w:color w:val="000000"/>
          <w:sz w:val="32"/>
          <w:szCs w:val="32"/>
        </w:rPr>
      </w:pPr>
      <w:r>
        <w:rPr>
          <w:rFonts w:hint="eastAsia" w:ascii="仿宋_GB2312" w:eastAsia="仿宋_GB2312" w:cs="仿宋_GB2312"/>
          <w:color w:val="000000"/>
          <w:sz w:val="32"/>
          <w:szCs w:val="32"/>
        </w:rPr>
        <w:t>办公时间：工作日8:30-12:00，14:00-17:00。</w:t>
      </w:r>
    </w:p>
    <w:p>
      <w:pPr>
        <w:pStyle w:val="6"/>
        <w:spacing w:beforeAutospacing="0" w:afterAutospacing="0" w:line="560" w:lineRule="exact"/>
        <w:ind w:firstLine="640"/>
        <w:jc w:val="both"/>
        <w:rPr>
          <w:rFonts w:ascii="仿宋_GB2312" w:eastAsia="仿宋_GB2312" w:cs="仿宋_GB2312"/>
          <w:color w:val="000000"/>
          <w:sz w:val="32"/>
          <w:szCs w:val="32"/>
        </w:rPr>
      </w:pPr>
    </w:p>
    <w:p>
      <w:pPr>
        <w:pStyle w:val="6"/>
        <w:spacing w:beforeAutospacing="0" w:afterAutospacing="0" w:line="560" w:lineRule="exact"/>
        <w:ind w:firstLine="640"/>
        <w:jc w:val="both"/>
        <w:rPr>
          <w:rFonts w:ascii="仿宋_GB2312" w:eastAsia="仿宋_GB2312" w:cs="仿宋_GB2312"/>
          <w:color w:val="000000"/>
          <w:sz w:val="32"/>
          <w:szCs w:val="32"/>
        </w:rPr>
      </w:pPr>
      <w:r>
        <w:rPr>
          <w:rFonts w:hint="eastAsia" w:ascii="仿宋_GB2312" w:eastAsia="仿宋_GB2312" w:cs="仿宋_GB2312"/>
          <w:color w:val="000000"/>
          <w:sz w:val="32"/>
          <w:szCs w:val="32"/>
        </w:rPr>
        <w:t>附录：1.申请材料具体要求</w:t>
      </w:r>
    </w:p>
    <w:p>
      <w:pPr>
        <w:pStyle w:val="6"/>
        <w:spacing w:beforeAutospacing="0" w:afterAutospacing="0" w:line="560" w:lineRule="exact"/>
        <w:ind w:firstLine="1476"/>
        <w:jc w:val="both"/>
      </w:pPr>
      <w:r>
        <w:rPr>
          <w:rFonts w:hint="eastAsia" w:ascii="仿宋_GB2312" w:eastAsia="仿宋_GB2312" w:cs="仿宋_GB2312"/>
          <w:color w:val="000000"/>
          <w:sz w:val="32"/>
          <w:szCs w:val="32"/>
        </w:rPr>
        <w:t xml:space="preserve"> 2.非银行支付机构设立初审流程图</w:t>
      </w:r>
    </w:p>
    <w:p>
      <w:pPr>
        <w:pStyle w:val="6"/>
        <w:spacing w:beforeAutospacing="0" w:afterAutospacing="0" w:line="560" w:lineRule="exact"/>
        <w:jc w:val="both"/>
      </w:pPr>
    </w:p>
    <w:p>
      <w:pPr>
        <w:pStyle w:val="6"/>
        <w:widowControl/>
        <w:spacing w:beforeAutospacing="0" w:afterAutospacing="0"/>
        <w:jc w:val="center"/>
      </w:pPr>
    </w:p>
    <w:p>
      <w:pPr>
        <w:pStyle w:val="6"/>
        <w:widowControl/>
        <w:spacing w:beforeAutospacing="0" w:afterAutospacing="0" w:line="560" w:lineRule="exact"/>
        <w:jc w:val="both"/>
      </w:pPr>
      <w:r>
        <w:br w:type="page"/>
      </w:r>
      <w:bookmarkStart w:id="0" w:name="_GoBack"/>
      <w:bookmarkEnd w:id="0"/>
      <w:r>
        <w:rPr>
          <w:rFonts w:hint="eastAsia" w:ascii="黑体" w:hAnsi="宋体" w:eastAsia="黑体"/>
          <w:color w:val="000000"/>
          <w:sz w:val="32"/>
          <w:szCs w:val="32"/>
        </w:rPr>
        <w:t>附录1</w:t>
      </w:r>
    </w:p>
    <w:p>
      <w:pPr>
        <w:pStyle w:val="6"/>
        <w:spacing w:beforeAutospacing="0" w:afterAutospacing="0" w:line="560" w:lineRule="exact"/>
        <w:jc w:val="center"/>
      </w:pPr>
      <w:r>
        <w:rPr>
          <w:rFonts w:hint="eastAsia" w:ascii="黑体" w:hAnsi="宋体" w:eastAsia="黑体"/>
          <w:color w:val="000000"/>
          <w:sz w:val="36"/>
          <w:szCs w:val="36"/>
        </w:rPr>
        <w:t>申请材料具体要求</w:t>
      </w:r>
    </w:p>
    <w:p>
      <w:pPr>
        <w:pStyle w:val="6"/>
        <w:spacing w:beforeAutospacing="0" w:afterAutospacing="0" w:line="560" w:lineRule="exact"/>
        <w:ind w:firstLine="630"/>
        <w:jc w:val="both"/>
      </w:pPr>
    </w:p>
    <w:p>
      <w:pPr>
        <w:pStyle w:val="6"/>
        <w:widowControl/>
        <w:spacing w:beforeAutospacing="0" w:afterAutospacing="0" w:line="560" w:lineRule="exact"/>
        <w:ind w:firstLine="640" w:firstLineChars="200"/>
        <w:jc w:val="both"/>
      </w:pPr>
      <w:r>
        <w:rPr>
          <w:rFonts w:hint="eastAsia" w:ascii="黑体" w:hAnsi="宋体" w:eastAsia="黑体"/>
          <w:color w:val="000000"/>
          <w:sz w:val="32"/>
          <w:szCs w:val="32"/>
        </w:rPr>
        <w:t>一、书面申请</w:t>
      </w:r>
    </w:p>
    <w:p>
      <w:pPr>
        <w:pStyle w:val="6"/>
        <w:widowControl/>
        <w:spacing w:beforeAutospacing="0" w:afterAutospacing="0" w:line="560" w:lineRule="exact"/>
        <w:ind w:firstLine="640" w:firstLineChars="200"/>
        <w:jc w:val="both"/>
      </w:pPr>
      <w:r>
        <w:rPr>
          <w:rFonts w:hint="eastAsia" w:ascii="仿宋_GB2312" w:eastAsia="仿宋_GB2312" w:cs="仿宋_GB2312"/>
          <w:color w:val="000000"/>
          <w:sz w:val="32"/>
          <w:szCs w:val="32"/>
        </w:rPr>
        <w:t>载明申请人拟设立非银行支付机构的名称、住所、注册资本、拟申请支付业务类型、经营地域范围及理由等事项。</w:t>
      </w:r>
    </w:p>
    <w:p>
      <w:pPr>
        <w:pStyle w:val="6"/>
        <w:widowControl/>
        <w:spacing w:beforeAutospacing="0" w:afterAutospacing="0" w:line="560" w:lineRule="exact"/>
        <w:ind w:firstLine="640" w:firstLineChars="200"/>
        <w:jc w:val="both"/>
      </w:pPr>
      <w:r>
        <w:rPr>
          <w:rFonts w:hint="eastAsia" w:ascii="黑体" w:hAnsi="宋体" w:eastAsia="黑体"/>
          <w:color w:val="000000"/>
          <w:sz w:val="32"/>
          <w:szCs w:val="32"/>
        </w:rPr>
        <w:t>二、验资证明或者公司资本情况材料</w:t>
      </w:r>
    </w:p>
    <w:p>
      <w:pPr>
        <w:pStyle w:val="6"/>
        <w:widowControl/>
        <w:spacing w:beforeAutospacing="0" w:afterAutospacing="0" w:line="560" w:lineRule="exact"/>
        <w:ind w:firstLine="640" w:firstLineChars="200"/>
        <w:jc w:val="both"/>
      </w:pPr>
      <w:r>
        <w:rPr>
          <w:rFonts w:hint="eastAsia" w:ascii="仿宋_GB2312" w:eastAsia="仿宋_GB2312" w:cs="仿宋_GB2312"/>
          <w:color w:val="000000"/>
          <w:sz w:val="32"/>
          <w:szCs w:val="32"/>
        </w:rPr>
        <w:t>能够反映股东出资情况（包括股东名册及其出资额、股份），说明资金来源，以及为实缴货币资本的相关材料。</w:t>
      </w:r>
    </w:p>
    <w:p>
      <w:pPr>
        <w:pStyle w:val="6"/>
        <w:widowControl/>
        <w:spacing w:beforeAutospacing="0" w:afterAutospacing="0" w:line="560" w:lineRule="exact"/>
        <w:ind w:firstLine="640" w:firstLineChars="200"/>
        <w:jc w:val="both"/>
      </w:pPr>
      <w:r>
        <w:rPr>
          <w:rFonts w:hint="eastAsia" w:ascii="黑体" w:hAnsi="宋体" w:eastAsia="黑体"/>
          <w:color w:val="000000"/>
          <w:sz w:val="32"/>
          <w:szCs w:val="32"/>
        </w:rPr>
        <w:t>三、主要股东材料</w:t>
      </w:r>
    </w:p>
    <w:p>
      <w:pPr>
        <w:pStyle w:val="6"/>
        <w:widowControl/>
        <w:spacing w:beforeAutospacing="0" w:afterAutospacing="0" w:line="560" w:lineRule="exact"/>
        <w:ind w:firstLine="640" w:firstLineChars="200"/>
        <w:jc w:val="both"/>
      </w:pPr>
      <w:r>
        <w:rPr>
          <w:rFonts w:hint="eastAsia" w:ascii="仿宋_GB2312" w:eastAsia="仿宋_GB2312" w:cs="仿宋_GB2312"/>
          <w:color w:val="000000"/>
          <w:sz w:val="32"/>
          <w:szCs w:val="32"/>
        </w:rPr>
        <w:t>（一）申请人股东关联关系说明材料，以及股权结构和控制框架图。</w:t>
      </w:r>
    </w:p>
    <w:p>
      <w:pPr>
        <w:pStyle w:val="6"/>
        <w:widowControl/>
        <w:spacing w:beforeAutospacing="0" w:afterAutospacing="0" w:line="560" w:lineRule="exact"/>
        <w:ind w:firstLine="640" w:firstLineChars="200"/>
        <w:jc w:val="both"/>
      </w:pPr>
      <w:r>
        <w:rPr>
          <w:rFonts w:hint="eastAsia" w:ascii="仿宋_GB2312" w:eastAsia="仿宋_GB2312" w:cs="仿宋_GB2312"/>
          <w:color w:val="000000"/>
          <w:sz w:val="32"/>
          <w:szCs w:val="32"/>
        </w:rPr>
        <w:t>（二）营业执照（副本）复印件，或者有效身份证件复印件、个人履历。</w:t>
      </w:r>
    </w:p>
    <w:p>
      <w:pPr>
        <w:pStyle w:val="6"/>
        <w:widowControl/>
        <w:spacing w:beforeAutospacing="0" w:afterAutospacing="0" w:line="560" w:lineRule="exact"/>
        <w:ind w:firstLine="640" w:firstLineChars="200"/>
        <w:jc w:val="both"/>
      </w:pPr>
      <w:r>
        <w:rPr>
          <w:rFonts w:hint="eastAsia" w:ascii="仿宋_GB2312" w:eastAsia="仿宋_GB2312" w:cs="仿宋_GB2312"/>
          <w:color w:val="000000"/>
          <w:sz w:val="32"/>
          <w:szCs w:val="32"/>
        </w:rPr>
        <w:t>（三）财务状况和出资情况说明材料，含出资方资金来源说明，以及最近2年经会计师事务所审计的财务会计报告或者个人财务状况说明。</w:t>
      </w:r>
    </w:p>
    <w:p>
      <w:pPr>
        <w:pStyle w:val="6"/>
        <w:widowControl/>
        <w:spacing w:beforeAutospacing="0" w:afterAutospacing="0" w:line="560" w:lineRule="exact"/>
        <w:ind w:firstLine="640" w:firstLineChars="200"/>
        <w:jc w:val="both"/>
      </w:pPr>
      <w:r>
        <w:rPr>
          <w:rFonts w:hint="eastAsia" w:ascii="仿宋_GB2312" w:eastAsia="仿宋_GB2312" w:cs="仿宋_GB2312"/>
          <w:color w:val="000000"/>
          <w:sz w:val="32"/>
          <w:szCs w:val="32"/>
        </w:rPr>
        <w:t>（四）无重大违法违规材料，含最近3年无重大违法违规记录承诺，以及其他能够说明没有因涉嫌重大违法违规正在被调查或者处于整改期间的相关材料。</w:t>
      </w:r>
    </w:p>
    <w:p>
      <w:pPr>
        <w:pStyle w:val="6"/>
        <w:widowControl/>
        <w:spacing w:beforeAutospacing="0" w:afterAutospacing="0" w:line="560" w:lineRule="exact"/>
        <w:ind w:firstLine="640" w:firstLineChars="200"/>
        <w:jc w:val="both"/>
      </w:pPr>
      <w:r>
        <w:rPr>
          <w:rFonts w:hint="eastAsia" w:ascii="仿宋_GB2312" w:eastAsia="仿宋_GB2312" w:cs="仿宋_GB2312"/>
          <w:color w:val="000000"/>
          <w:sz w:val="32"/>
          <w:szCs w:val="32"/>
        </w:rPr>
        <w:t>（五）诚信记录良好材料，含企业或者个人征信报告，以及其他能够说明诚信记录良好的相关材料。</w:t>
      </w:r>
    </w:p>
    <w:p>
      <w:pPr>
        <w:pStyle w:val="6"/>
        <w:widowControl/>
        <w:spacing w:beforeAutospacing="0" w:afterAutospacing="0" w:line="560" w:lineRule="exact"/>
        <w:ind w:firstLine="640" w:firstLineChars="200"/>
        <w:jc w:val="both"/>
      </w:pPr>
      <w:r>
        <w:rPr>
          <w:rFonts w:hint="eastAsia" w:ascii="仿宋_GB2312" w:eastAsia="仿宋_GB2312" w:cs="仿宋_GB2312"/>
          <w:color w:val="000000"/>
          <w:sz w:val="32"/>
          <w:szCs w:val="32"/>
        </w:rPr>
        <w:t>（六）股权稳定性和补充资本承诺书，含主要股东3年内不再变更的承诺，以及非银行支付机构发生风险事件影响其正常运营、损害用户合法权益时，主要股东补充资本的承诺。</w:t>
      </w:r>
    </w:p>
    <w:p>
      <w:pPr>
        <w:pStyle w:val="6"/>
        <w:widowControl/>
        <w:spacing w:beforeAutospacing="0" w:afterAutospacing="0" w:line="560" w:lineRule="exact"/>
        <w:ind w:firstLine="640" w:firstLineChars="200"/>
        <w:jc w:val="both"/>
      </w:pPr>
      <w:r>
        <w:rPr>
          <w:rFonts w:hint="eastAsia" w:ascii="仿宋_GB2312" w:eastAsia="仿宋_GB2312" w:cs="仿宋_GB2312"/>
          <w:color w:val="000000"/>
          <w:sz w:val="32"/>
          <w:szCs w:val="32"/>
        </w:rPr>
        <w:t>主要股东为金融机构的，还应当提供金融业务许可证复印件、准予投资申请人的批复文件或者其他相关材料。</w:t>
      </w:r>
    </w:p>
    <w:p>
      <w:pPr>
        <w:pStyle w:val="6"/>
        <w:widowControl/>
        <w:spacing w:beforeAutospacing="0" w:afterAutospacing="0" w:line="560" w:lineRule="exact"/>
        <w:ind w:firstLine="640" w:firstLineChars="200"/>
        <w:jc w:val="both"/>
      </w:pPr>
      <w:r>
        <w:rPr>
          <w:rFonts w:hint="eastAsia" w:ascii="黑体" w:hAnsi="宋体" w:eastAsia="黑体"/>
          <w:color w:val="000000"/>
          <w:sz w:val="32"/>
          <w:szCs w:val="32"/>
        </w:rPr>
        <w:t>四、实际控制人材料</w:t>
      </w:r>
    </w:p>
    <w:p>
      <w:pPr>
        <w:pStyle w:val="6"/>
        <w:widowControl/>
        <w:spacing w:beforeAutospacing="0" w:afterAutospacing="0" w:line="560" w:lineRule="exact"/>
        <w:ind w:firstLine="640" w:firstLineChars="200"/>
        <w:jc w:val="both"/>
      </w:pPr>
      <w:r>
        <w:rPr>
          <w:rFonts w:hint="eastAsia" w:ascii="仿宋_GB2312" w:eastAsia="仿宋_GB2312" w:cs="仿宋_GB2312"/>
          <w:color w:val="000000"/>
          <w:sz w:val="32"/>
          <w:szCs w:val="32"/>
        </w:rPr>
        <w:t>（一）申请人实际控制权和控制关系说明材料。</w:t>
      </w:r>
    </w:p>
    <w:p>
      <w:pPr>
        <w:pStyle w:val="6"/>
        <w:widowControl/>
        <w:spacing w:beforeAutospacing="0" w:afterAutospacing="0" w:line="560" w:lineRule="exact"/>
        <w:ind w:firstLine="640" w:firstLineChars="200"/>
        <w:jc w:val="both"/>
      </w:pPr>
      <w:r>
        <w:rPr>
          <w:rFonts w:hint="eastAsia" w:ascii="仿宋_GB2312" w:eastAsia="仿宋_GB2312" w:cs="仿宋_GB2312"/>
          <w:color w:val="000000"/>
          <w:sz w:val="32"/>
          <w:szCs w:val="32"/>
        </w:rPr>
        <w:t>（二）营业执照（副本）复印件，或者有效身份证件复印件、个人履历。</w:t>
      </w:r>
    </w:p>
    <w:p>
      <w:pPr>
        <w:pStyle w:val="6"/>
        <w:widowControl/>
        <w:spacing w:beforeAutospacing="0" w:afterAutospacing="0" w:line="560" w:lineRule="exact"/>
        <w:ind w:firstLine="640" w:firstLineChars="200"/>
        <w:jc w:val="both"/>
      </w:pPr>
      <w:r>
        <w:rPr>
          <w:rFonts w:hint="eastAsia" w:ascii="仿宋_GB2312" w:eastAsia="仿宋_GB2312" w:cs="仿宋_GB2312"/>
          <w:color w:val="000000"/>
          <w:sz w:val="32"/>
          <w:szCs w:val="32"/>
        </w:rPr>
        <w:t>（三）财务状况和出资情况说明材料，含出资方资金来源说明，以及最近2年经会计师事务所审计的财务会计报告或者个人财务状况说明。</w:t>
      </w:r>
    </w:p>
    <w:p>
      <w:pPr>
        <w:pStyle w:val="6"/>
        <w:widowControl/>
        <w:spacing w:beforeAutospacing="0" w:afterAutospacing="0" w:line="560" w:lineRule="exact"/>
        <w:ind w:firstLine="640" w:firstLineChars="200"/>
        <w:jc w:val="both"/>
      </w:pPr>
      <w:r>
        <w:rPr>
          <w:rFonts w:hint="eastAsia" w:ascii="仿宋_GB2312" w:eastAsia="仿宋_GB2312" w:cs="仿宋_GB2312"/>
          <w:color w:val="000000"/>
          <w:sz w:val="32"/>
          <w:szCs w:val="32"/>
        </w:rPr>
        <w:t>（四）无重大违法违规材料，含最近3年无重大违法违规记录承诺，以及其他能够说明没有因涉嫌重大违法违规正在被调查或者处于整改期间的相关材料。</w:t>
      </w:r>
    </w:p>
    <w:p>
      <w:pPr>
        <w:pStyle w:val="6"/>
        <w:widowControl/>
        <w:spacing w:beforeAutospacing="0" w:afterAutospacing="0" w:line="560" w:lineRule="exact"/>
        <w:ind w:firstLine="640" w:firstLineChars="200"/>
        <w:jc w:val="both"/>
      </w:pPr>
      <w:r>
        <w:rPr>
          <w:rFonts w:hint="eastAsia" w:ascii="仿宋_GB2312" w:eastAsia="仿宋_GB2312" w:cs="仿宋_GB2312"/>
          <w:color w:val="000000"/>
          <w:sz w:val="32"/>
          <w:szCs w:val="32"/>
        </w:rPr>
        <w:t>（五）诚信记录良好材料，含企业或者个人征信报告，以及其他能够说明诚信记录良好的相关材料。</w:t>
      </w:r>
    </w:p>
    <w:p>
      <w:pPr>
        <w:pStyle w:val="6"/>
        <w:widowControl/>
        <w:spacing w:beforeAutospacing="0" w:afterAutospacing="0" w:line="560" w:lineRule="exact"/>
        <w:ind w:firstLine="640" w:firstLineChars="200"/>
        <w:jc w:val="both"/>
      </w:pPr>
      <w:r>
        <w:rPr>
          <w:rFonts w:hint="eastAsia" w:ascii="仿宋_GB2312" w:eastAsia="仿宋_GB2312" w:cs="仿宋_GB2312"/>
          <w:color w:val="000000"/>
          <w:sz w:val="32"/>
          <w:szCs w:val="32"/>
        </w:rPr>
        <w:t>（六）股权稳定性承诺书，含实际控制人3年内不再变更的承诺。</w:t>
      </w:r>
    </w:p>
    <w:p>
      <w:pPr>
        <w:pStyle w:val="6"/>
        <w:widowControl/>
        <w:spacing w:beforeAutospacing="0" w:afterAutospacing="0" w:line="560" w:lineRule="exact"/>
        <w:ind w:firstLine="640" w:firstLineChars="200"/>
        <w:jc w:val="both"/>
        <w:rPr>
          <w:rFonts w:ascii="仿宋_GB2312" w:eastAsia="仿宋_GB2312" w:cs="仿宋_GB2312"/>
          <w:color w:val="000000"/>
          <w:sz w:val="32"/>
          <w:szCs w:val="32"/>
        </w:rPr>
      </w:pPr>
      <w:r>
        <w:rPr>
          <w:rFonts w:hint="eastAsia" w:ascii="仿宋_GB2312" w:eastAsia="仿宋_GB2312" w:cs="仿宋_GB2312"/>
          <w:color w:val="000000"/>
          <w:sz w:val="32"/>
          <w:szCs w:val="32"/>
        </w:rPr>
        <w:t>实际控制人为自然人的，还应当提交其实际控制的公司最近2年经营情况说明材料、最近2年经会计师事务所审计的财务会计报告或者其他相关材料。</w:t>
      </w:r>
    </w:p>
    <w:p>
      <w:pPr>
        <w:pStyle w:val="6"/>
        <w:widowControl/>
        <w:spacing w:beforeAutospacing="0" w:afterAutospacing="0" w:line="560" w:lineRule="exact"/>
        <w:ind w:firstLine="640" w:firstLineChars="200"/>
        <w:jc w:val="both"/>
      </w:pPr>
      <w:r>
        <w:rPr>
          <w:rFonts w:hint="eastAsia" w:ascii="仿宋_GB2312" w:eastAsia="仿宋_GB2312" w:cs="仿宋_GB2312"/>
          <w:color w:val="000000"/>
          <w:sz w:val="32"/>
          <w:szCs w:val="32"/>
        </w:rPr>
        <w:t>前款所称实际控制的公司，指本条第一款第一项规定的申请人实际控制权和控制关系说明材料中，实际控制人控制的、除非银行支付机构之外财务状况良好的公司。</w:t>
      </w:r>
    </w:p>
    <w:p>
      <w:pPr>
        <w:pStyle w:val="6"/>
        <w:widowControl/>
        <w:spacing w:beforeAutospacing="0" w:afterAutospacing="0" w:line="560" w:lineRule="exact"/>
        <w:ind w:firstLine="640" w:firstLineChars="200"/>
        <w:jc w:val="both"/>
      </w:pPr>
      <w:r>
        <w:rPr>
          <w:rFonts w:hint="eastAsia" w:ascii="黑体" w:hAnsi="宋体" w:eastAsia="黑体"/>
          <w:color w:val="000000"/>
          <w:sz w:val="32"/>
          <w:szCs w:val="32"/>
        </w:rPr>
        <w:t>五、拟任董事、监事和高级管理人员材料</w:t>
      </w:r>
    </w:p>
    <w:p>
      <w:pPr>
        <w:pStyle w:val="6"/>
        <w:widowControl/>
        <w:spacing w:beforeAutospacing="0" w:afterAutospacing="0" w:line="560" w:lineRule="exact"/>
        <w:ind w:firstLine="640" w:firstLineChars="200"/>
        <w:jc w:val="both"/>
      </w:pPr>
      <w:r>
        <w:rPr>
          <w:rFonts w:hint="eastAsia" w:ascii="仿宋_GB2312" w:eastAsia="仿宋_GB2312" w:cs="仿宋_GB2312"/>
          <w:color w:val="000000"/>
          <w:sz w:val="32"/>
          <w:szCs w:val="32"/>
        </w:rPr>
        <w:t>（一）有效身份证件复印件。</w:t>
      </w:r>
    </w:p>
    <w:p>
      <w:pPr>
        <w:pStyle w:val="6"/>
        <w:widowControl/>
        <w:spacing w:beforeAutospacing="0" w:afterAutospacing="0" w:line="560" w:lineRule="exact"/>
        <w:ind w:firstLine="640" w:firstLineChars="200"/>
        <w:jc w:val="both"/>
      </w:pPr>
      <w:r>
        <w:rPr>
          <w:rFonts w:hint="eastAsia" w:ascii="仿宋_GB2312" w:eastAsia="仿宋_GB2312" w:cs="仿宋_GB2312"/>
          <w:color w:val="000000"/>
          <w:sz w:val="32"/>
          <w:szCs w:val="32"/>
        </w:rPr>
        <w:t>（二）个人履历和相关说明材料。</w:t>
      </w:r>
    </w:p>
    <w:p>
      <w:pPr>
        <w:pStyle w:val="6"/>
        <w:widowControl/>
        <w:spacing w:beforeAutospacing="0" w:afterAutospacing="0" w:line="560" w:lineRule="exact"/>
        <w:ind w:firstLine="640" w:firstLineChars="200"/>
        <w:jc w:val="both"/>
      </w:pPr>
      <w:r>
        <w:rPr>
          <w:rFonts w:hint="eastAsia" w:ascii="仿宋_GB2312" w:eastAsia="仿宋_GB2312" w:cs="仿宋_GB2312"/>
          <w:color w:val="000000"/>
          <w:sz w:val="32"/>
          <w:szCs w:val="32"/>
        </w:rPr>
        <w:t>（三）高级管理人员学历证书复印件。</w:t>
      </w:r>
    </w:p>
    <w:p>
      <w:pPr>
        <w:pStyle w:val="6"/>
        <w:widowControl/>
        <w:spacing w:beforeAutospacing="0" w:afterAutospacing="0" w:line="560" w:lineRule="exact"/>
        <w:ind w:firstLine="640" w:firstLineChars="200"/>
        <w:jc w:val="both"/>
      </w:pPr>
      <w:r>
        <w:rPr>
          <w:rFonts w:hint="eastAsia" w:ascii="仿宋_GB2312" w:eastAsia="仿宋_GB2312" w:cs="仿宋_GB2312"/>
          <w:color w:val="000000"/>
          <w:sz w:val="32"/>
          <w:szCs w:val="32"/>
        </w:rPr>
        <w:t>（四）无重大违法违规材料，含最近3年无重大违法违规记录承诺，以及其他能够说明没有因涉嫌重大违法违规正在被调查或者处于整改期间的相关材料。</w:t>
      </w:r>
    </w:p>
    <w:p>
      <w:pPr>
        <w:pStyle w:val="6"/>
        <w:widowControl/>
        <w:spacing w:beforeAutospacing="0" w:afterAutospacing="0" w:line="560" w:lineRule="exact"/>
        <w:ind w:firstLine="640" w:firstLineChars="200"/>
        <w:jc w:val="both"/>
      </w:pPr>
      <w:r>
        <w:rPr>
          <w:rFonts w:hint="eastAsia" w:ascii="仿宋_GB2312" w:eastAsia="仿宋_GB2312" w:cs="仿宋_GB2312"/>
          <w:color w:val="000000"/>
          <w:sz w:val="32"/>
          <w:szCs w:val="32"/>
        </w:rPr>
        <w:t>（五）诚信记录良好材料，含个人征信报告，以及其他能够说明诚信记录良好的相关材料。</w:t>
      </w:r>
    </w:p>
    <w:p>
      <w:pPr>
        <w:pStyle w:val="6"/>
        <w:widowControl/>
        <w:spacing w:beforeAutospacing="0" w:afterAutospacing="0" w:line="560" w:lineRule="exact"/>
        <w:ind w:firstLine="640" w:firstLineChars="200"/>
        <w:jc w:val="both"/>
      </w:pPr>
      <w:r>
        <w:rPr>
          <w:rFonts w:hint="eastAsia" w:ascii="仿宋_GB2312" w:eastAsia="仿宋_GB2312" w:cs="仿宋_GB2312"/>
          <w:color w:val="000000"/>
          <w:sz w:val="32"/>
          <w:szCs w:val="32"/>
        </w:rPr>
        <w:t>（六）个人承诺书，含对本人（及配偶）是否有大额负债进行说明，并就本人诚信和公正履职、履行反洗钱和反恐怖融资义务等进行承诺。如涉及兼职的，还需提交兼职情况说明和“确保有足够时间和精力有效履行相应职责”的承诺。</w:t>
      </w:r>
    </w:p>
    <w:p>
      <w:pPr>
        <w:pStyle w:val="6"/>
        <w:widowControl/>
        <w:spacing w:beforeAutospacing="0" w:afterAutospacing="0" w:line="560" w:lineRule="exact"/>
        <w:ind w:firstLine="640" w:firstLineChars="200"/>
        <w:jc w:val="both"/>
      </w:pPr>
      <w:r>
        <w:rPr>
          <w:rFonts w:hint="eastAsia" w:ascii="黑体" w:hAnsi="宋体" w:eastAsia="黑体"/>
          <w:color w:val="000000"/>
          <w:sz w:val="32"/>
          <w:szCs w:val="32"/>
        </w:rPr>
        <w:t>六、拟设立非银行支付机构的组织机构设置方案</w:t>
      </w:r>
    </w:p>
    <w:p>
      <w:pPr>
        <w:pStyle w:val="6"/>
        <w:widowControl/>
        <w:spacing w:beforeAutospacing="0" w:afterAutospacing="0" w:line="560" w:lineRule="exact"/>
        <w:ind w:firstLine="640" w:firstLineChars="200"/>
        <w:jc w:val="both"/>
      </w:pPr>
      <w:r>
        <w:rPr>
          <w:rFonts w:hint="eastAsia" w:ascii="仿宋_GB2312" w:eastAsia="仿宋_GB2312" w:cs="仿宋_GB2312"/>
          <w:color w:val="000000"/>
          <w:sz w:val="32"/>
          <w:szCs w:val="32"/>
        </w:rPr>
        <w:t>应当包含公司治理结构，董事、监事、管理层、各职能部门设置，岗位设置和职责等情况。</w:t>
      </w:r>
    </w:p>
    <w:p>
      <w:pPr>
        <w:pStyle w:val="6"/>
        <w:widowControl/>
        <w:spacing w:beforeAutospacing="0" w:afterAutospacing="0" w:line="560" w:lineRule="exact"/>
        <w:ind w:firstLine="640" w:firstLineChars="200"/>
        <w:jc w:val="both"/>
      </w:pPr>
      <w:r>
        <w:rPr>
          <w:rFonts w:hint="eastAsia" w:ascii="黑体" w:hAnsi="宋体" w:eastAsia="黑体"/>
          <w:color w:val="000000"/>
          <w:sz w:val="32"/>
          <w:szCs w:val="32"/>
        </w:rPr>
        <w:t>七、内部控制制度材料</w:t>
      </w:r>
    </w:p>
    <w:p>
      <w:pPr>
        <w:pStyle w:val="6"/>
        <w:widowControl/>
        <w:spacing w:beforeAutospacing="0" w:afterAutospacing="0" w:line="560" w:lineRule="exact"/>
        <w:ind w:firstLine="640" w:firstLineChars="200"/>
        <w:jc w:val="both"/>
      </w:pPr>
      <w:r>
        <w:rPr>
          <w:rFonts w:hint="eastAsia" w:ascii="仿宋_GB2312" w:eastAsia="仿宋_GB2312" w:cs="仿宋_GB2312"/>
          <w:color w:val="000000"/>
          <w:sz w:val="32"/>
          <w:szCs w:val="32"/>
        </w:rPr>
        <w:t>应当包含为合理保证拟设立非银行支付机构经营管理合法合规、资产安全、财务报告和相关信息真实完整而制定的相关制度。</w:t>
      </w:r>
    </w:p>
    <w:p>
      <w:pPr>
        <w:pStyle w:val="6"/>
        <w:widowControl/>
        <w:spacing w:beforeAutospacing="0" w:afterAutospacing="0" w:line="560" w:lineRule="exact"/>
        <w:ind w:firstLine="640" w:firstLineChars="200"/>
        <w:jc w:val="both"/>
      </w:pPr>
      <w:r>
        <w:rPr>
          <w:rFonts w:hint="eastAsia" w:ascii="黑体" w:hAnsi="宋体" w:eastAsia="黑体"/>
          <w:color w:val="000000"/>
          <w:sz w:val="32"/>
          <w:szCs w:val="32"/>
        </w:rPr>
        <w:t>八、风险管理制度材料</w:t>
      </w:r>
    </w:p>
    <w:p>
      <w:pPr>
        <w:pStyle w:val="6"/>
        <w:widowControl/>
        <w:spacing w:beforeAutospacing="0" w:afterAutospacing="0" w:line="560" w:lineRule="exact"/>
        <w:ind w:firstLine="640" w:firstLineChars="200"/>
        <w:jc w:val="both"/>
      </w:pPr>
      <w:r>
        <w:rPr>
          <w:rFonts w:hint="eastAsia" w:ascii="仿宋_GB2312" w:eastAsia="仿宋_GB2312" w:cs="仿宋_GB2312"/>
          <w:color w:val="000000"/>
          <w:sz w:val="32"/>
          <w:szCs w:val="32"/>
        </w:rPr>
        <w:t>应当包含拟设立非银行支付机构经营过程中的风险分析、风险识别、风险处置等内容。</w:t>
      </w:r>
    </w:p>
    <w:p>
      <w:pPr>
        <w:pStyle w:val="6"/>
        <w:widowControl/>
        <w:spacing w:beforeAutospacing="0" w:afterAutospacing="0" w:line="560" w:lineRule="exact"/>
        <w:ind w:firstLine="640" w:firstLineChars="200"/>
        <w:jc w:val="both"/>
      </w:pPr>
      <w:r>
        <w:rPr>
          <w:rFonts w:hint="eastAsia" w:ascii="黑体" w:hAnsi="宋体" w:eastAsia="黑体"/>
          <w:color w:val="000000"/>
          <w:sz w:val="32"/>
          <w:szCs w:val="32"/>
        </w:rPr>
        <w:t>九、退出预案以及用户合法权益保障机制材料</w:t>
      </w:r>
    </w:p>
    <w:p>
      <w:pPr>
        <w:pStyle w:val="6"/>
        <w:widowControl/>
        <w:spacing w:beforeAutospacing="0" w:afterAutospacing="0" w:line="560" w:lineRule="exact"/>
        <w:ind w:firstLine="640" w:firstLineChars="200"/>
        <w:jc w:val="both"/>
      </w:pPr>
      <w:r>
        <w:rPr>
          <w:rFonts w:hint="eastAsia" w:ascii="仿宋_GB2312" w:eastAsia="仿宋_GB2312" w:cs="仿宋_GB2312"/>
          <w:color w:val="000000"/>
          <w:sz w:val="32"/>
          <w:szCs w:val="32"/>
        </w:rPr>
        <w:t>应当说明如未获准予行政许可部分（业务类型或经营地域范围）或全部支付业务，支付机构关于相关支付业务终止、承接、市场退出等事项的详细方案，以及相应的用户权益保障、支付业务信息处理等安排。</w:t>
      </w:r>
    </w:p>
    <w:p>
      <w:pPr>
        <w:pStyle w:val="6"/>
        <w:widowControl/>
        <w:spacing w:beforeAutospacing="0" w:afterAutospacing="0" w:line="560" w:lineRule="exact"/>
        <w:ind w:firstLine="640" w:firstLineChars="200"/>
        <w:jc w:val="both"/>
      </w:pPr>
      <w:r>
        <w:rPr>
          <w:rFonts w:hint="eastAsia" w:ascii="黑体" w:hAnsi="宋体" w:eastAsia="黑体"/>
          <w:color w:val="000000"/>
          <w:sz w:val="32"/>
          <w:szCs w:val="32"/>
        </w:rPr>
        <w:t>十、支付业务发展规划和可行性研究报告</w:t>
      </w:r>
    </w:p>
    <w:p>
      <w:pPr>
        <w:pStyle w:val="6"/>
        <w:widowControl/>
        <w:spacing w:beforeAutospacing="0" w:afterAutospacing="0" w:line="560" w:lineRule="exact"/>
        <w:ind w:firstLine="640" w:firstLineChars="200"/>
        <w:jc w:val="both"/>
      </w:pPr>
      <w:r>
        <w:rPr>
          <w:rFonts w:hint="eastAsia" w:ascii="仿宋_GB2312" w:eastAsia="仿宋_GB2312" w:cs="仿宋_GB2312"/>
          <w:color w:val="000000"/>
          <w:sz w:val="32"/>
          <w:szCs w:val="32"/>
        </w:rPr>
        <w:t>应当包括下列内容：</w:t>
      </w:r>
    </w:p>
    <w:p>
      <w:pPr>
        <w:pStyle w:val="6"/>
        <w:widowControl/>
        <w:spacing w:beforeAutospacing="0" w:afterAutospacing="0" w:line="560" w:lineRule="exact"/>
        <w:ind w:firstLine="640" w:firstLineChars="200"/>
        <w:jc w:val="both"/>
      </w:pPr>
      <w:r>
        <w:rPr>
          <w:rFonts w:hint="eastAsia" w:ascii="仿宋_GB2312" w:eastAsia="仿宋_GB2312" w:cs="仿宋_GB2312"/>
          <w:color w:val="000000"/>
          <w:sz w:val="32"/>
          <w:szCs w:val="32"/>
        </w:rPr>
        <w:t>（一）拟从事支付业务的市场前景分析。</w:t>
      </w:r>
    </w:p>
    <w:p>
      <w:pPr>
        <w:pStyle w:val="6"/>
        <w:widowControl/>
        <w:spacing w:beforeAutospacing="0" w:afterAutospacing="0" w:line="560" w:lineRule="exact"/>
        <w:ind w:firstLine="640" w:firstLineChars="200"/>
        <w:jc w:val="both"/>
      </w:pPr>
      <w:r>
        <w:rPr>
          <w:rFonts w:hint="eastAsia" w:ascii="仿宋_GB2312" w:eastAsia="仿宋_GB2312" w:cs="仿宋_GB2312"/>
          <w:color w:val="000000"/>
          <w:sz w:val="32"/>
          <w:szCs w:val="32"/>
        </w:rPr>
        <w:t>（二）拟从事支付业务的处理流程，载明从用户发起支付业务到完成用户委托支付业务各环节的业务内容以及相关资金流转情况。</w:t>
      </w:r>
    </w:p>
    <w:p>
      <w:pPr>
        <w:pStyle w:val="6"/>
        <w:widowControl/>
        <w:spacing w:beforeAutospacing="0" w:afterAutospacing="0" w:line="560" w:lineRule="exact"/>
        <w:ind w:firstLine="640" w:firstLineChars="200"/>
        <w:jc w:val="both"/>
      </w:pPr>
      <w:r>
        <w:rPr>
          <w:rFonts w:hint="eastAsia" w:ascii="仿宋_GB2312" w:eastAsia="仿宋_GB2312" w:cs="仿宋_GB2312"/>
          <w:color w:val="000000"/>
          <w:sz w:val="32"/>
          <w:szCs w:val="32"/>
        </w:rPr>
        <w:t>（三）拟从事支付业务的风险分析和管理措施，并对支付业务各环节分别进行说明。</w:t>
      </w:r>
    </w:p>
    <w:p>
      <w:pPr>
        <w:pStyle w:val="6"/>
        <w:widowControl/>
        <w:spacing w:beforeAutospacing="0" w:afterAutospacing="0" w:line="560" w:lineRule="exact"/>
        <w:ind w:firstLine="640" w:firstLineChars="200"/>
        <w:jc w:val="both"/>
      </w:pPr>
      <w:r>
        <w:rPr>
          <w:rFonts w:hint="eastAsia" w:ascii="仿宋_GB2312" w:eastAsia="仿宋_GB2312" w:cs="仿宋_GB2312"/>
          <w:color w:val="000000"/>
          <w:sz w:val="32"/>
          <w:szCs w:val="32"/>
        </w:rPr>
        <w:t>（四）拟从事支付业务的成本和经济效益分析。</w:t>
      </w:r>
    </w:p>
    <w:p>
      <w:pPr>
        <w:pStyle w:val="6"/>
        <w:widowControl/>
        <w:spacing w:beforeAutospacing="0" w:afterAutospacing="0" w:line="560" w:lineRule="exact"/>
        <w:ind w:firstLine="640" w:firstLineChars="200"/>
        <w:jc w:val="both"/>
      </w:pPr>
      <w:r>
        <w:rPr>
          <w:rFonts w:hint="eastAsia" w:ascii="仿宋_GB2312" w:eastAsia="仿宋_GB2312" w:cs="仿宋_GB2312"/>
          <w:color w:val="000000"/>
          <w:sz w:val="32"/>
          <w:szCs w:val="32"/>
        </w:rPr>
        <w:t>拟申请不同类型支付业务的，应当按照支付业务类型分别提供前款规定内容。</w:t>
      </w:r>
    </w:p>
    <w:p>
      <w:pPr>
        <w:pStyle w:val="6"/>
        <w:widowControl/>
        <w:spacing w:beforeAutospacing="0" w:afterAutospacing="0" w:line="560" w:lineRule="exact"/>
        <w:ind w:firstLine="640" w:firstLineChars="200"/>
        <w:jc w:val="both"/>
      </w:pPr>
      <w:r>
        <w:rPr>
          <w:rFonts w:hint="eastAsia" w:ascii="黑体" w:hAnsi="宋体" w:eastAsia="黑体"/>
          <w:color w:val="000000"/>
          <w:sz w:val="32"/>
          <w:szCs w:val="32"/>
        </w:rPr>
        <w:t>十一、反洗钱和反恐怖融资措施材料</w:t>
      </w:r>
    </w:p>
    <w:p>
      <w:pPr>
        <w:pStyle w:val="6"/>
        <w:widowControl/>
        <w:spacing w:beforeAutospacing="0" w:afterAutospacing="0" w:line="560" w:lineRule="exact"/>
        <w:ind w:firstLine="640" w:firstLineChars="200"/>
        <w:jc w:val="both"/>
      </w:pPr>
      <w:r>
        <w:rPr>
          <w:rFonts w:hint="eastAsia" w:ascii="仿宋_GB2312" w:eastAsia="仿宋_GB2312" w:cs="仿宋_GB2312"/>
          <w:color w:val="000000"/>
          <w:sz w:val="32"/>
          <w:szCs w:val="32"/>
        </w:rPr>
        <w:t>应当包括下列内容：</w:t>
      </w:r>
    </w:p>
    <w:p>
      <w:pPr>
        <w:pStyle w:val="6"/>
        <w:widowControl/>
        <w:spacing w:beforeAutospacing="0" w:afterAutospacing="0" w:line="560" w:lineRule="exact"/>
        <w:ind w:firstLine="640" w:firstLineChars="200"/>
        <w:jc w:val="both"/>
      </w:pPr>
      <w:r>
        <w:rPr>
          <w:rFonts w:hint="eastAsia" w:ascii="仿宋_GB2312" w:eastAsia="仿宋_GB2312" w:cs="仿宋_GB2312"/>
          <w:color w:val="000000"/>
          <w:sz w:val="32"/>
          <w:szCs w:val="32"/>
        </w:rPr>
        <w:t>（一）反洗钱内部控制制度文件，载明反洗钱合规管理框架、客户尽职调查和客户身份资料及交易记录保存措施、大额和可疑交易报告措施、反洗钱审计和培训措施、协助反洗钱调查的内部程序、反洗钱工作保密措施。</w:t>
      </w:r>
    </w:p>
    <w:p>
      <w:pPr>
        <w:pStyle w:val="6"/>
        <w:widowControl/>
        <w:spacing w:beforeAutospacing="0" w:afterAutospacing="0" w:line="560" w:lineRule="exact"/>
        <w:ind w:firstLine="640" w:firstLineChars="200"/>
        <w:jc w:val="both"/>
      </w:pPr>
      <w:r>
        <w:rPr>
          <w:rFonts w:hint="eastAsia" w:ascii="仿宋_GB2312" w:eastAsia="仿宋_GB2312" w:cs="仿宋_GB2312"/>
          <w:color w:val="000000"/>
          <w:sz w:val="32"/>
          <w:szCs w:val="32"/>
        </w:rPr>
        <w:t>（二）反洗钱岗位设置和职责说明，载明负责反洗钱工作的内设机构、反洗钱高级管理人员和专职反洗钱工作人员及其联系方式。</w:t>
      </w:r>
    </w:p>
    <w:p>
      <w:pPr>
        <w:pStyle w:val="6"/>
        <w:widowControl/>
        <w:spacing w:beforeAutospacing="0" w:afterAutospacing="0" w:line="560" w:lineRule="exact"/>
        <w:ind w:firstLine="640" w:firstLineChars="200"/>
        <w:jc w:val="both"/>
      </w:pPr>
      <w:r>
        <w:rPr>
          <w:rFonts w:hint="eastAsia" w:ascii="仿宋_GB2312" w:eastAsia="仿宋_GB2312" w:cs="仿宋_GB2312"/>
          <w:color w:val="000000"/>
          <w:sz w:val="32"/>
          <w:szCs w:val="32"/>
        </w:rPr>
        <w:t>（三）开展大额和可疑交易监测的技术条件说明。</w:t>
      </w:r>
    </w:p>
    <w:p>
      <w:pPr>
        <w:pStyle w:val="6"/>
        <w:widowControl/>
        <w:spacing w:beforeAutospacing="0" w:afterAutospacing="0" w:line="560" w:lineRule="exact"/>
        <w:ind w:firstLine="640" w:firstLineChars="200"/>
        <w:jc w:val="both"/>
      </w:pPr>
      <w:r>
        <w:rPr>
          <w:rFonts w:hint="eastAsia" w:ascii="仿宋_GB2312" w:eastAsia="仿宋_GB2312" w:cs="仿宋_GB2312"/>
          <w:color w:val="000000"/>
          <w:sz w:val="32"/>
          <w:szCs w:val="32"/>
        </w:rPr>
        <w:t>（四）洗钱风险自评估制度，《条例》施行前已按照有关规定设立的非银行支付机构还应当提交已完成的洗钱风险自评估报告。</w:t>
      </w:r>
    </w:p>
    <w:p>
      <w:pPr>
        <w:pStyle w:val="6"/>
        <w:widowControl/>
        <w:spacing w:beforeAutospacing="0" w:afterAutospacing="0" w:line="560" w:lineRule="exact"/>
        <w:ind w:firstLine="640" w:firstLineChars="200"/>
        <w:jc w:val="both"/>
      </w:pPr>
      <w:r>
        <w:rPr>
          <w:rFonts w:hint="eastAsia" w:ascii="黑体" w:hAnsi="宋体" w:eastAsia="黑体"/>
          <w:color w:val="000000"/>
          <w:sz w:val="32"/>
          <w:szCs w:val="32"/>
        </w:rPr>
        <w:t>十二、支付业务设施材料</w:t>
      </w:r>
    </w:p>
    <w:p>
      <w:pPr>
        <w:pStyle w:val="6"/>
        <w:widowControl/>
        <w:spacing w:beforeAutospacing="0" w:afterAutospacing="0" w:line="560" w:lineRule="exact"/>
        <w:ind w:firstLine="640" w:firstLineChars="200"/>
        <w:jc w:val="both"/>
      </w:pPr>
      <w:r>
        <w:rPr>
          <w:rFonts w:hint="eastAsia" w:ascii="仿宋_GB2312" w:eastAsia="仿宋_GB2312" w:cs="仿宋_GB2312"/>
          <w:color w:val="000000"/>
          <w:sz w:val="32"/>
          <w:szCs w:val="32"/>
        </w:rPr>
        <w:t>（一）支付业务设施机房部署情况。非银行支付机构生产中心机房原则上应当与非银行支付机构主要经营场所所在地位于同一省、自治区、直辖市。</w:t>
      </w:r>
    </w:p>
    <w:p>
      <w:pPr>
        <w:pStyle w:val="6"/>
        <w:widowControl/>
        <w:spacing w:beforeAutospacing="0" w:afterAutospacing="0" w:line="560" w:lineRule="exact"/>
        <w:ind w:firstLine="640" w:firstLineChars="200"/>
        <w:jc w:val="both"/>
      </w:pPr>
      <w:r>
        <w:rPr>
          <w:rFonts w:hint="eastAsia" w:ascii="仿宋_GB2312" w:eastAsia="仿宋_GB2312" w:cs="仿宋_GB2312"/>
          <w:color w:val="000000"/>
          <w:sz w:val="32"/>
          <w:szCs w:val="32"/>
        </w:rPr>
        <w:t>（二）支付业务设施符合中国人民银行规定的业务规范、技术标准和安全要求说明材料。</w:t>
      </w:r>
    </w:p>
    <w:p>
      <w:pPr>
        <w:pStyle w:val="6"/>
        <w:widowControl/>
        <w:spacing w:beforeAutospacing="0" w:afterAutospacing="0" w:line="560" w:lineRule="exact"/>
        <w:ind w:firstLine="640" w:firstLineChars="200"/>
        <w:jc w:val="both"/>
      </w:pPr>
      <w:r>
        <w:rPr>
          <w:rFonts w:hint="eastAsia" w:ascii="仿宋_GB2312" w:eastAsia="仿宋_GB2312" w:cs="仿宋_GB2312"/>
          <w:color w:val="000000"/>
          <w:sz w:val="32"/>
          <w:szCs w:val="32"/>
        </w:rPr>
        <w:t>未按照中国人民银行规定的业务规范、技术标准和安全要求提供说明材料的，或者说明材料的程序、方法存在重大缺陷的，中国人民银行及其分支机构可以要求申请人重新提交说明材料。</w:t>
      </w:r>
    </w:p>
    <w:p>
      <w:pPr>
        <w:pStyle w:val="6"/>
        <w:widowControl/>
        <w:spacing w:beforeAutospacing="0" w:afterAutospacing="0" w:line="560" w:lineRule="exact"/>
        <w:ind w:firstLine="640" w:firstLineChars="200"/>
        <w:jc w:val="both"/>
      </w:pPr>
      <w:r>
        <w:rPr>
          <w:rFonts w:hint="eastAsia" w:ascii="黑体" w:hAnsi="宋体" w:eastAsia="黑体"/>
          <w:color w:val="000000"/>
          <w:sz w:val="32"/>
          <w:szCs w:val="32"/>
        </w:rPr>
        <w:t>十三、有符合规定的经营场所材料</w:t>
      </w:r>
    </w:p>
    <w:p>
      <w:pPr>
        <w:pStyle w:val="6"/>
        <w:widowControl/>
        <w:spacing w:beforeAutospacing="0" w:afterAutospacing="0" w:line="560" w:lineRule="exact"/>
        <w:ind w:firstLine="640" w:firstLineChars="200"/>
        <w:jc w:val="both"/>
      </w:pPr>
      <w:r>
        <w:rPr>
          <w:rFonts w:hint="eastAsia" w:ascii="仿宋_GB2312" w:eastAsia="仿宋_GB2312" w:cs="仿宋_GB2312"/>
          <w:color w:val="000000"/>
          <w:sz w:val="32"/>
          <w:szCs w:val="32"/>
        </w:rPr>
        <w:t>应当包括住所所有权或者使用权的说明材料，以及经营场所安全的相关材料。</w:t>
      </w:r>
    </w:p>
    <w:p>
      <w:pPr>
        <w:pStyle w:val="6"/>
        <w:widowControl/>
        <w:spacing w:beforeAutospacing="0" w:afterAutospacing="0" w:line="560" w:lineRule="exact"/>
        <w:ind w:firstLine="640" w:firstLineChars="200"/>
        <w:jc w:val="both"/>
      </w:pPr>
      <w:r>
        <w:rPr>
          <w:rFonts w:hint="eastAsia" w:ascii="黑体" w:hAnsi="宋体" w:eastAsia="黑体"/>
          <w:color w:val="000000"/>
          <w:sz w:val="32"/>
          <w:szCs w:val="32"/>
        </w:rPr>
        <w:t>十四、申请材料真实性声明</w:t>
      </w:r>
    </w:p>
    <w:p>
      <w:pPr>
        <w:pStyle w:val="6"/>
        <w:widowControl/>
        <w:spacing w:beforeAutospacing="0" w:afterAutospacing="0" w:line="560" w:lineRule="exact"/>
        <w:ind w:firstLine="640" w:firstLineChars="200"/>
        <w:jc w:val="both"/>
      </w:pPr>
      <w:r>
        <w:rPr>
          <w:rFonts w:hint="eastAsia" w:ascii="仿宋_GB2312" w:eastAsia="仿宋_GB2312" w:cs="仿宋_GB2312"/>
          <w:color w:val="000000"/>
          <w:sz w:val="32"/>
          <w:szCs w:val="32"/>
        </w:rPr>
        <w:t>明确对申请材料实质内容的真实性负责，将承担因隐瞒有关情况或者提供虚假材料等导致不予受理或者不予行政许可等后果。</w:t>
      </w:r>
    </w:p>
    <w:p>
      <w:pPr>
        <w:pStyle w:val="6"/>
        <w:spacing w:beforeAutospacing="0" w:afterAutospacing="0" w:line="560" w:lineRule="exact"/>
        <w:ind w:firstLine="640" w:firstLineChars="200"/>
        <w:jc w:val="both"/>
      </w:pPr>
      <w:r>
        <w:rPr>
          <w:rFonts w:hint="eastAsia" w:ascii="黑体" w:hAnsi="宋体" w:eastAsia="黑体"/>
          <w:color w:val="000000"/>
          <w:sz w:val="32"/>
          <w:szCs w:val="32"/>
        </w:rPr>
        <w:t>十五、支付业务申请材料形式要求</w:t>
      </w:r>
    </w:p>
    <w:p>
      <w:pPr>
        <w:pStyle w:val="6"/>
        <w:spacing w:beforeAutospacing="0" w:afterAutospacing="0" w:line="560" w:lineRule="exact"/>
        <w:ind w:firstLine="640" w:firstLineChars="200"/>
        <w:jc w:val="both"/>
      </w:pPr>
      <w:r>
        <w:rPr>
          <w:rFonts w:hint="eastAsia" w:ascii="楷体_GB2312" w:eastAsia="楷体_GB2312" w:cs="楷体_GB2312"/>
          <w:color w:val="000000"/>
          <w:sz w:val="32"/>
          <w:szCs w:val="32"/>
        </w:rPr>
        <w:t>（一）纸质材料</w:t>
      </w:r>
    </w:p>
    <w:p>
      <w:pPr>
        <w:pStyle w:val="6"/>
        <w:spacing w:beforeAutospacing="0" w:afterAutospacing="0" w:line="560" w:lineRule="exact"/>
        <w:ind w:firstLine="640" w:firstLineChars="200"/>
        <w:jc w:val="both"/>
      </w:pPr>
      <w:r>
        <w:rPr>
          <w:rFonts w:hint="eastAsia" w:ascii="仿宋_GB2312" w:eastAsia="仿宋_GB2312" w:cs="仿宋_GB2312"/>
          <w:color w:val="000000"/>
          <w:sz w:val="32"/>
          <w:szCs w:val="32"/>
        </w:rPr>
        <w:t>1．纸张规格。</w:t>
      </w:r>
    </w:p>
    <w:p>
      <w:pPr>
        <w:pStyle w:val="6"/>
        <w:spacing w:beforeAutospacing="0" w:afterAutospacing="0" w:line="560" w:lineRule="exact"/>
        <w:ind w:firstLine="640" w:firstLineChars="200"/>
        <w:jc w:val="both"/>
      </w:pPr>
      <w:r>
        <w:rPr>
          <w:rFonts w:hint="eastAsia" w:ascii="仿宋_GB2312" w:eastAsia="仿宋_GB2312" w:cs="仿宋_GB2312"/>
          <w:color w:val="000000"/>
          <w:sz w:val="32"/>
          <w:szCs w:val="32"/>
        </w:rPr>
        <w:t>申请材料统一使用 A4 规格纸印制。</w:t>
      </w:r>
    </w:p>
    <w:p>
      <w:pPr>
        <w:pStyle w:val="6"/>
        <w:spacing w:beforeAutospacing="0" w:afterAutospacing="0" w:line="560" w:lineRule="exact"/>
        <w:ind w:firstLine="640" w:firstLineChars="200"/>
        <w:jc w:val="both"/>
      </w:pPr>
      <w:r>
        <w:rPr>
          <w:rFonts w:hint="eastAsia" w:ascii="仿宋_GB2312" w:eastAsia="仿宋_GB2312" w:cs="仿宋_GB2312"/>
          <w:color w:val="000000"/>
          <w:sz w:val="32"/>
          <w:szCs w:val="32"/>
        </w:rPr>
        <w:t>2．装订成册。</w:t>
      </w:r>
    </w:p>
    <w:p>
      <w:pPr>
        <w:pStyle w:val="6"/>
        <w:spacing w:beforeAutospacing="0" w:afterAutospacing="0" w:line="560" w:lineRule="exact"/>
        <w:ind w:firstLine="640" w:firstLineChars="200"/>
        <w:jc w:val="both"/>
      </w:pPr>
      <w:r>
        <w:rPr>
          <w:rFonts w:hint="eastAsia" w:ascii="仿宋_GB2312" w:eastAsia="仿宋_GB2312" w:cs="仿宋_GB2312"/>
          <w:color w:val="000000"/>
          <w:sz w:val="32"/>
          <w:szCs w:val="32"/>
        </w:rPr>
        <w:t>（1）申请材料应按照《实施细则》第九条规定的先后次序，依次分项装订成册，分册编页码，并在封面注明相应的材料内容（如申请材料之第×项×××××）。根据要求补充提供的说明材料单独装订。若同一项材料中涉及多个文件，应设置目录。</w:t>
      </w:r>
    </w:p>
    <w:p>
      <w:pPr>
        <w:pStyle w:val="6"/>
        <w:spacing w:beforeAutospacing="0" w:afterAutospacing="0" w:line="560" w:lineRule="exact"/>
        <w:ind w:firstLine="640" w:firstLineChars="200"/>
        <w:jc w:val="both"/>
      </w:pPr>
      <w:r>
        <w:rPr>
          <w:rFonts w:hint="eastAsia" w:ascii="仿宋_GB2312" w:eastAsia="仿宋_GB2312" w:cs="仿宋_GB2312"/>
          <w:color w:val="000000"/>
          <w:sz w:val="32"/>
          <w:szCs w:val="32"/>
        </w:rPr>
        <w:t>（2）申请材料统一放入一个文件夹（袋），并在文件夹（袋）上注明申请人名称及申请年月。</w:t>
      </w:r>
    </w:p>
    <w:p>
      <w:pPr>
        <w:pStyle w:val="6"/>
        <w:spacing w:beforeAutospacing="0" w:afterAutospacing="0" w:line="560" w:lineRule="exact"/>
        <w:ind w:firstLine="640" w:firstLineChars="200"/>
        <w:jc w:val="both"/>
      </w:pPr>
      <w:r>
        <w:rPr>
          <w:rFonts w:hint="eastAsia" w:ascii="仿宋_GB2312" w:eastAsia="仿宋_GB2312" w:cs="仿宋_GB2312"/>
          <w:color w:val="000000"/>
          <w:sz w:val="32"/>
          <w:szCs w:val="32"/>
        </w:rPr>
        <w:t>（3）纸质申请材料一式三份。</w:t>
      </w:r>
    </w:p>
    <w:p>
      <w:pPr>
        <w:pStyle w:val="6"/>
        <w:spacing w:beforeAutospacing="0" w:afterAutospacing="0" w:line="560" w:lineRule="exact"/>
        <w:ind w:firstLine="640" w:firstLineChars="200"/>
        <w:jc w:val="both"/>
      </w:pPr>
      <w:r>
        <w:rPr>
          <w:rFonts w:hint="eastAsia" w:ascii="仿宋_GB2312" w:eastAsia="仿宋_GB2312" w:cs="仿宋_GB2312"/>
          <w:color w:val="000000"/>
          <w:sz w:val="32"/>
          <w:szCs w:val="32"/>
        </w:rPr>
        <w:t>3．其他要求。</w:t>
      </w:r>
    </w:p>
    <w:p>
      <w:pPr>
        <w:pStyle w:val="6"/>
        <w:spacing w:beforeAutospacing="0" w:afterAutospacing="0" w:line="560" w:lineRule="exact"/>
        <w:ind w:firstLine="640" w:firstLineChars="200"/>
        <w:jc w:val="both"/>
      </w:pPr>
      <w:r>
        <w:rPr>
          <w:rFonts w:hint="eastAsia" w:ascii="仿宋_GB2312" w:eastAsia="仿宋_GB2312" w:cs="仿宋_GB2312"/>
          <w:color w:val="000000"/>
          <w:sz w:val="32"/>
          <w:szCs w:val="32"/>
        </w:rPr>
        <w:t>（1）涉及外文材料的，应当将所有外文译为规范的中文，并附在相应外文材料之后。</w:t>
      </w:r>
    </w:p>
    <w:p>
      <w:pPr>
        <w:pStyle w:val="6"/>
        <w:spacing w:beforeAutospacing="0" w:afterAutospacing="0" w:line="560" w:lineRule="exact"/>
        <w:ind w:firstLine="640" w:firstLineChars="200"/>
        <w:jc w:val="both"/>
      </w:pPr>
      <w:r>
        <w:rPr>
          <w:rFonts w:hint="eastAsia" w:ascii="仿宋_GB2312" w:eastAsia="仿宋_GB2312" w:cs="仿宋_GB2312"/>
          <w:color w:val="000000"/>
          <w:sz w:val="32"/>
          <w:szCs w:val="32"/>
        </w:rPr>
        <w:t>（2）申请材料应每页加盖公章或加盖骑缝章。</w:t>
      </w:r>
    </w:p>
    <w:p>
      <w:pPr>
        <w:pStyle w:val="6"/>
        <w:spacing w:beforeAutospacing="0" w:afterAutospacing="0" w:line="560" w:lineRule="exact"/>
        <w:ind w:firstLine="640" w:firstLineChars="200"/>
        <w:jc w:val="both"/>
      </w:pPr>
      <w:r>
        <w:rPr>
          <w:rFonts w:hint="eastAsia" w:ascii="仿宋_GB2312" w:eastAsia="仿宋_GB2312" w:cs="仿宋_GB2312"/>
          <w:color w:val="000000"/>
          <w:sz w:val="32"/>
          <w:szCs w:val="32"/>
        </w:rPr>
        <w:t>（3）申请材料中相关证明文件加盖的各类单位公章（含申请人和其他相关单位）应轮廓完整、字迹清晰，并应与文字落款完全一致。</w:t>
      </w:r>
    </w:p>
    <w:p>
      <w:pPr>
        <w:pStyle w:val="6"/>
        <w:spacing w:beforeAutospacing="0" w:afterAutospacing="0" w:line="560" w:lineRule="exact"/>
        <w:ind w:firstLine="640" w:firstLineChars="200"/>
        <w:jc w:val="both"/>
      </w:pPr>
      <w:r>
        <w:rPr>
          <w:rFonts w:hint="eastAsia" w:ascii="仿宋_GB2312" w:eastAsia="仿宋_GB2312" w:cs="仿宋_GB2312"/>
          <w:color w:val="000000"/>
          <w:sz w:val="32"/>
          <w:szCs w:val="32"/>
        </w:rPr>
        <w:t>（4）申请材料中的复印件文档，应轮廓完整、字迹清晰。</w:t>
      </w:r>
    </w:p>
    <w:p>
      <w:pPr>
        <w:pStyle w:val="6"/>
        <w:spacing w:beforeAutospacing="0" w:afterAutospacing="0" w:line="560" w:lineRule="exact"/>
        <w:ind w:firstLine="640" w:firstLineChars="200"/>
        <w:jc w:val="both"/>
      </w:pPr>
      <w:r>
        <w:rPr>
          <w:rFonts w:hint="eastAsia" w:ascii="楷体_GB2312" w:eastAsia="楷体_GB2312" w:cs="楷体_GB2312"/>
          <w:color w:val="000000"/>
          <w:sz w:val="32"/>
          <w:szCs w:val="32"/>
        </w:rPr>
        <w:t>（二）数据光盘</w:t>
      </w:r>
    </w:p>
    <w:p>
      <w:pPr>
        <w:pStyle w:val="6"/>
        <w:spacing w:beforeAutospacing="0" w:afterAutospacing="0" w:line="560" w:lineRule="exact"/>
        <w:ind w:firstLine="640" w:firstLineChars="200"/>
        <w:jc w:val="both"/>
      </w:pPr>
      <w:r>
        <w:rPr>
          <w:rFonts w:hint="eastAsia" w:ascii="仿宋_GB2312" w:eastAsia="仿宋_GB2312" w:cs="仿宋_GB2312"/>
          <w:color w:val="000000"/>
          <w:sz w:val="32"/>
          <w:szCs w:val="32"/>
        </w:rPr>
        <w:t>1.所有文档均应为pdf格式。</w:t>
      </w:r>
    </w:p>
    <w:p>
      <w:pPr>
        <w:pStyle w:val="6"/>
        <w:spacing w:beforeAutospacing="0" w:afterAutospacing="0" w:line="560" w:lineRule="exact"/>
        <w:ind w:firstLine="640" w:firstLineChars="200"/>
        <w:jc w:val="both"/>
      </w:pPr>
      <w:r>
        <w:rPr>
          <w:rFonts w:hint="eastAsia" w:ascii="仿宋_GB2312" w:eastAsia="仿宋_GB2312" w:cs="仿宋_GB2312"/>
          <w:color w:val="000000"/>
          <w:sz w:val="32"/>
          <w:szCs w:val="32"/>
        </w:rPr>
        <w:t>2.数据光盘的内容应与纸质材料完全一致，pdf文件内容完整、印章清晰。</w:t>
      </w:r>
    </w:p>
    <w:p>
      <w:pPr>
        <w:pStyle w:val="6"/>
        <w:spacing w:beforeAutospacing="0" w:afterAutospacing="0" w:line="560" w:lineRule="exact"/>
        <w:ind w:firstLine="640" w:firstLineChars="200"/>
        <w:jc w:val="both"/>
      </w:pPr>
      <w:r>
        <w:rPr>
          <w:rFonts w:hint="eastAsia" w:ascii="仿宋_GB2312" w:eastAsia="仿宋_GB2312" w:cs="仿宋_GB2312"/>
          <w:color w:val="000000"/>
          <w:sz w:val="32"/>
          <w:szCs w:val="32"/>
        </w:rPr>
        <w:t>3.按照目录设置文件夹并命名，相应的申请材料应放入同一文件夹下。</w:t>
      </w:r>
    </w:p>
    <w:p>
      <w:pPr>
        <w:pStyle w:val="6"/>
        <w:spacing w:beforeAutospacing="0" w:afterAutospacing="0" w:line="560" w:lineRule="exact"/>
        <w:ind w:firstLine="640" w:firstLineChars="200"/>
        <w:jc w:val="both"/>
      </w:pPr>
      <w:r>
        <w:rPr>
          <w:rFonts w:hint="eastAsia" w:ascii="仿宋_GB2312" w:eastAsia="仿宋_GB2312" w:cs="仿宋_GB2312"/>
          <w:color w:val="000000"/>
          <w:sz w:val="32"/>
          <w:szCs w:val="32"/>
        </w:rPr>
        <w:t>4.光盘表面应贴标签，标明公司名称和提交申请日期。</w:t>
      </w:r>
    </w:p>
    <w:p>
      <w:pPr>
        <w:pStyle w:val="6"/>
        <w:spacing w:beforeAutospacing="0" w:afterAutospacing="0" w:line="560" w:lineRule="exact"/>
        <w:ind w:firstLine="640" w:firstLineChars="200"/>
        <w:jc w:val="both"/>
        <w:rPr>
          <w:rFonts w:hint="eastAsia" w:ascii="仿宋_GB2312" w:eastAsia="仿宋_GB2312" w:cs="仿宋_GB2312"/>
          <w:color w:val="000000"/>
          <w:sz w:val="32"/>
          <w:szCs w:val="32"/>
        </w:rPr>
      </w:pPr>
      <w:r>
        <w:rPr>
          <w:rFonts w:hint="eastAsia" w:ascii="仿宋_GB2312" w:eastAsia="仿宋_GB2312" w:cs="仿宋_GB2312"/>
          <w:color w:val="000000"/>
          <w:sz w:val="32"/>
          <w:szCs w:val="32"/>
        </w:rPr>
        <w:t>5.数据光盘三套，每套光盘包括三张：一张刻有全套完整的申请资料的光盘，一张仅刻有机构提交的申请书及反洗钱和反恐怖融资措施材料的光盘，一张仅刻有机构提交的申请书及支付业务设施材料的光盘。</w:t>
      </w:r>
    </w:p>
    <w:p>
      <w:pPr>
        <w:pStyle w:val="6"/>
        <w:spacing w:beforeAutospacing="0" w:afterAutospacing="0" w:line="560" w:lineRule="exact"/>
        <w:jc w:val="center"/>
        <w:rPr>
          <w:rFonts w:ascii="黑体" w:hAnsi="宋体" w:eastAsia="黑体"/>
          <w:color w:val="000000"/>
          <w:sz w:val="36"/>
          <w:szCs w:val="36"/>
        </w:rPr>
      </w:pPr>
    </w:p>
    <w:p>
      <w:pPr>
        <w:widowControl/>
        <w:jc w:val="left"/>
        <w:rPr>
          <w:kern w:val="0"/>
          <w:sz w:val="24"/>
        </w:rPr>
      </w:pPr>
    </w:p>
    <w:p>
      <w:pPr>
        <w:pStyle w:val="6"/>
        <w:spacing w:beforeAutospacing="0" w:afterAutospacing="0"/>
        <w:jc w:val="both"/>
      </w:pPr>
      <w:r>
        <w:rPr>
          <w:kern w:val="0"/>
          <w:sz w:val="24"/>
        </w:rPr>
        <w:br w:type="page"/>
      </w:r>
      <w:r>
        <w:rPr>
          <w:rFonts w:ascii="仿宋" w:hAnsi="仿宋" w:eastAsia="仿宋"/>
        </w:rPr>
        <w:pict>
          <v:group id="_x0000_s1147" o:spid="_x0000_s1147" o:spt="203" style="position:absolute;left:0pt;margin-left:7.3pt;margin-top:58.75pt;height:456.8pt;width:402.95pt;z-index:251659264;mso-width-relative:page;mso-height-relative:page;" coordorigin="1946,2615" coordsize="8059,9136">
            <o:lock v:ext="edit"/>
            <v:shape id="_x0000_s1148" o:spid="_x0000_s1148" o:spt="109" type="#_x0000_t109" style="position:absolute;left:5185;top:4374;height:946;width:2000;" stroked="f" coordsize="21600,21600">
              <v:path/>
              <v:fill focussize="0,0"/>
              <v:stroke on="f" joinstyle="miter"/>
              <v:imagedata o:title=""/>
              <o:lock v:ext="edit"/>
              <v:textbox>
                <w:txbxContent>
                  <w:p>
                    <w:pPr>
                      <w:snapToGrid w:val="0"/>
                      <w:spacing w:line="240" w:lineRule="atLeast"/>
                      <w:jc w:val="center"/>
                      <w:rPr>
                        <w:rFonts w:ascii="仿宋" w:hAnsi="仿宋" w:eastAsia="仿宋"/>
                        <w:sz w:val="15"/>
                        <w:szCs w:val="15"/>
                      </w:rPr>
                    </w:pPr>
                    <w:r>
                      <w:rPr>
                        <w:rFonts w:hint="eastAsia" w:ascii="仿宋" w:hAnsi="仿宋" w:eastAsia="仿宋"/>
                        <w:sz w:val="15"/>
                        <w:szCs w:val="15"/>
                      </w:rPr>
                      <w:t>不属于中国人民银行职责</w:t>
                    </w:r>
                  </w:p>
                  <w:p>
                    <w:pPr>
                      <w:snapToGrid w:val="0"/>
                      <w:spacing w:line="240" w:lineRule="atLeast"/>
                      <w:jc w:val="center"/>
                      <w:rPr>
                        <w:rFonts w:ascii="仿宋" w:hAnsi="仿宋" w:eastAsia="仿宋"/>
                        <w:sz w:val="15"/>
                        <w:szCs w:val="15"/>
                      </w:rPr>
                    </w:pPr>
                    <w:r>
                      <w:rPr>
                        <w:rFonts w:hint="eastAsia" w:ascii="仿宋" w:hAnsi="仿宋" w:eastAsia="仿宋"/>
                        <w:sz w:val="15"/>
                        <w:szCs w:val="15"/>
                      </w:rPr>
                      <w:t>或补正后材料仍不符合</w:t>
                    </w:r>
                  </w:p>
                  <w:p>
                    <w:pPr>
                      <w:snapToGrid w:val="0"/>
                      <w:spacing w:line="240" w:lineRule="atLeast"/>
                      <w:jc w:val="center"/>
                      <w:rPr>
                        <w:rFonts w:ascii="仿宋" w:hAnsi="仿宋" w:eastAsia="仿宋"/>
                      </w:rPr>
                    </w:pPr>
                    <w:r>
                      <w:rPr>
                        <w:rFonts w:hint="eastAsia" w:ascii="仿宋" w:hAnsi="仿宋" w:eastAsia="仿宋"/>
                        <w:sz w:val="15"/>
                        <w:szCs w:val="15"/>
                      </w:rPr>
                      <w:t>相关规定的</w:t>
                    </w:r>
                  </w:p>
                  <w:p/>
                </w:txbxContent>
              </v:textbox>
            </v:shape>
            <v:shape id="自选图形 119" o:spid="_x0000_s1149" o:spt="34" type="#_x0000_t34" style="position:absolute;left:4494;top:4451;height:409;width:2900;" o:connectortype="elbow" filled="f" coordsize="21600,21600" adj="4387,-191643,-32023">
              <v:path arrowok="t"/>
              <v:fill on="f" focussize="0,0"/>
              <v:stroke weight="0.25pt" endarrow="block"/>
              <v:imagedata o:title=""/>
              <o:lock v:ext="edit"/>
            </v:shape>
            <v:shape id="文本框 109" o:spid="_x0000_s1150" o:spt="176" type="#_x0000_t176" style="position:absolute;left:1982;top:2615;height:852;width:2512;" filled="t" coordsize="21600,21600">
              <v:path/>
              <v:fill type="gradient" on="t" angle="90" focussize="0f,0f">
                <o:fill type="gradientUnscaled" v:ext="backwardCompatible"/>
              </v:fill>
              <v:stroke weight="0.25pt" joinstyle="miter"/>
              <v:imagedata o:title=""/>
              <o:lock v:ext="edit"/>
              <v:textbox>
                <w:txbxContent>
                  <w:p>
                    <w:pPr>
                      <w:jc w:val="center"/>
                      <w:rPr>
                        <w:rFonts w:ascii="仿宋" w:hAnsi="仿宋" w:eastAsia="仿宋"/>
                        <w:snapToGrid w:val="0"/>
                        <w:sz w:val="18"/>
                      </w:rPr>
                    </w:pPr>
                    <w:r>
                      <w:rPr>
                        <w:rFonts w:hint="eastAsia" w:ascii="仿宋" w:hAnsi="仿宋" w:eastAsia="仿宋"/>
                        <w:snapToGrid w:val="0"/>
                        <w:sz w:val="18"/>
                      </w:rPr>
                      <w:t>申请人现场提出书面申请，提交申请材料</w:t>
                    </w:r>
                  </w:p>
                </w:txbxContent>
              </v:textbox>
            </v:shape>
            <v:shape id="文本框 111" o:spid="_x0000_s1151" o:spt="176" type="#_x0000_t176" style="position:absolute;left:1982;top:3975;height:858;width:2512;" filled="t" coordsize="21600,21600">
              <v:path/>
              <v:fill type="gradient" on="t" angle="90" focussize="0f,0f">
                <o:fill type="gradientUnscaled" v:ext="backwardCompatible"/>
              </v:fill>
              <v:stroke weight="0.25pt" joinstyle="miter"/>
              <v:imagedata o:title=""/>
              <o:lock v:ext="edit"/>
              <v:textbox>
                <w:txbxContent>
                  <w:p>
                    <w:pPr>
                      <w:jc w:val="center"/>
                      <w:rPr>
                        <w:rFonts w:ascii="仿宋" w:hAnsi="仿宋" w:eastAsia="仿宋"/>
                        <w:snapToGrid w:val="0"/>
                        <w:sz w:val="18"/>
                      </w:rPr>
                    </w:pPr>
                    <w:r>
                      <w:rPr>
                        <w:rFonts w:hint="eastAsia" w:ascii="仿宋" w:hAnsi="仿宋" w:eastAsia="仿宋"/>
                        <w:snapToGrid w:val="0"/>
                        <w:sz w:val="18"/>
                      </w:rPr>
                      <w:t>中国人民银行厦门市分行支付结算部门</w:t>
                    </w:r>
                  </w:p>
                </w:txbxContent>
              </v:textbox>
            </v:shape>
            <v:shape id="文本框 112" o:spid="_x0000_s1152" o:spt="176" type="#_x0000_t176" style="position:absolute;left:1982;top:5429;height:450;width:2512;" filled="t" coordsize="21600,21600">
              <v:path/>
              <v:fill type="gradient" on="t" angle="90" focussize="0f,0f">
                <o:fill type="gradientUnscaled" v:ext="backwardCompatible"/>
              </v:fill>
              <v:stroke weight="0.25pt" joinstyle="miter"/>
              <v:imagedata o:title=""/>
              <o:lock v:ext="edit"/>
              <v:textbox>
                <w:txbxContent>
                  <w:p>
                    <w:pPr>
                      <w:jc w:val="center"/>
                      <w:rPr>
                        <w:rFonts w:ascii="仿宋" w:hAnsi="仿宋" w:eastAsia="仿宋"/>
                        <w:snapToGrid w:val="0"/>
                        <w:sz w:val="18"/>
                      </w:rPr>
                    </w:pPr>
                    <w:r>
                      <w:rPr>
                        <w:rFonts w:hint="eastAsia" w:ascii="仿宋" w:hAnsi="仿宋" w:eastAsia="仿宋"/>
                        <w:snapToGrid w:val="0"/>
                        <w:sz w:val="18"/>
                      </w:rPr>
                      <w:t>行政许可受理通知书</w:t>
                    </w:r>
                  </w:p>
                </w:txbxContent>
              </v:textbox>
            </v:shape>
            <v:shape id="文本框 113" o:spid="_x0000_s1153" o:spt="176" type="#_x0000_t176" style="position:absolute;left:7493;top:3641;height:595;width:2512;" filled="t" coordsize="21600,21600">
              <v:path/>
              <v:fill type="gradient" on="t" angle="90" focussize="0f,0f">
                <o:fill type="gradientUnscaled" v:ext="backwardCompatible"/>
              </v:fill>
              <v:stroke weight="0.25pt" joinstyle="miter"/>
              <v:imagedata o:title=""/>
              <o:lock v:ext="edit"/>
              <v:textbox>
                <w:txbxContent>
                  <w:p>
                    <w:pPr>
                      <w:jc w:val="center"/>
                    </w:pPr>
                    <w:r>
                      <w:rPr>
                        <w:rFonts w:hint="eastAsia" w:ascii="仿宋" w:hAnsi="仿宋" w:eastAsia="仿宋"/>
                        <w:snapToGrid w:val="0"/>
                        <w:sz w:val="18"/>
                      </w:rPr>
                      <w:t>一次性告知申请人补正材料</w:t>
                    </w:r>
                  </w:p>
                </w:txbxContent>
              </v:textbox>
            </v:shape>
            <v:shape id="文本框 114" o:spid="_x0000_s1154" o:spt="176" type="#_x0000_t176" style="position:absolute;left:7493;top:4537;height:544;width:2512;" filled="t" coordsize="21600,21600">
              <v:path/>
              <v:fill type="gradient" on="t" angle="90" focussize="0f,0f">
                <o:fill type="gradientUnscaled" v:ext="backwardCompatible"/>
              </v:fill>
              <v:stroke weight="0.25pt" joinstyle="miter"/>
              <v:imagedata o:title=""/>
              <o:lock v:ext="edit"/>
              <v:textbox>
                <w:txbxContent>
                  <w:p>
                    <w:pPr>
                      <w:jc w:val="center"/>
                    </w:pPr>
                    <w:r>
                      <w:rPr>
                        <w:rFonts w:hint="eastAsia" w:ascii="仿宋" w:hAnsi="仿宋" w:eastAsia="仿宋"/>
                        <w:snapToGrid w:val="0"/>
                        <w:sz w:val="18"/>
                      </w:rPr>
                      <w:t>不予受理行政许可决定书</w:t>
                    </w:r>
                  </w:p>
                </w:txbxContent>
              </v:textbox>
            </v:shape>
            <v:shape id="文本框 117" o:spid="_x0000_s1155" o:spt="202" type="#_x0000_t202" style="position:absolute;left:5559;top:2642;height:401;width:1626;" filled="f" stroked="f" coordsize="21600,21600">
              <v:path/>
              <v:fill type="gradient" on="f" angle="90" focussize="0f,0f">
                <o:fill type="gradientUnscaled" v:ext="backwardCompatible"/>
              </v:fill>
              <v:stroke on="f" weight="1.25pt" color="#739CC3" joinstyle="miter"/>
              <v:imagedata o:title=""/>
              <o:lock v:ext="edit"/>
              <v:textbox>
                <w:txbxContent>
                  <w:p>
                    <w:pPr>
                      <w:rPr>
                        <w:rFonts w:ascii="仿宋" w:hAnsi="仿宋" w:eastAsia="仿宋"/>
                      </w:rPr>
                    </w:pPr>
                    <w:r>
                      <w:rPr>
                        <w:rFonts w:hint="eastAsia" w:ascii="仿宋" w:hAnsi="仿宋" w:eastAsia="仿宋"/>
                        <w:sz w:val="15"/>
                        <w:szCs w:val="15"/>
                      </w:rPr>
                      <w:t>申请人补全材料</w:t>
                    </w:r>
                  </w:p>
                </w:txbxContent>
              </v:textbox>
            </v:shape>
            <v:shape id="自选图形 118" o:spid="_x0000_s1156" o:spt="34" type="#_x0000_t34" style="position:absolute;left:4530;top:3846;flip:y;height:605;width:2837;" o:connectortype="elbow" filled="f" coordsize="21600,21600" adj="4202,129656,-32730">
              <v:path arrowok="t"/>
              <v:fill on="f" focussize="0,0"/>
              <v:stroke weight="0.25pt" endarrow="block"/>
              <v:imagedata o:title=""/>
              <o:lock v:ext="edit"/>
            </v:shape>
            <v:shape id="文本框 120" o:spid="_x0000_s1157" o:spt="202" type="#_x0000_t202" style="position:absolute;left:5185;top:3494;height:508;width:2584;" filled="f" stroked="f" coordsize="21600,21600">
              <v:path/>
              <v:fill type="gradient" on="f" angle="90" focussize="0f,0f">
                <o:fill type="gradientUnscaled" v:ext="backwardCompatible"/>
              </v:fill>
              <v:stroke on="f" weight="1.25pt" color="#739CC3" joinstyle="miter"/>
              <v:imagedata o:title=""/>
              <o:lock v:ext="edit"/>
              <v:textbox>
                <w:txbxContent>
                  <w:p>
                    <w:pPr>
                      <w:rPr>
                        <w:rFonts w:ascii="仿宋" w:hAnsi="仿宋" w:eastAsia="仿宋"/>
                      </w:rPr>
                    </w:pPr>
                    <w:r>
                      <w:rPr>
                        <w:rFonts w:hint="eastAsia" w:ascii="仿宋" w:hAnsi="仿宋" w:eastAsia="仿宋"/>
                        <w:sz w:val="15"/>
                        <w:szCs w:val="15"/>
                      </w:rPr>
                      <w:t>材料不齐全，不符合法定形式的</w:t>
                    </w:r>
                  </w:p>
                </w:txbxContent>
              </v:textbox>
            </v:shape>
            <v:shape id="自选图形 123" o:spid="_x0000_s1158" o:spt="32" type="#_x0000_t32" style="position:absolute;left:3232;top:4833;flip:x;height:596;width:11;" o:connectortype="straight" filled="f" coordsize="21600,21600">
              <v:path arrowok="t"/>
              <v:fill on="f" focussize="0,0"/>
              <v:stroke weight="0.25pt" endarrow="block"/>
              <v:imagedata o:title=""/>
              <o:lock v:ext="edit"/>
            </v:shape>
            <v:shape id="文本框 125" o:spid="_x0000_s1159" o:spt="176" type="#_x0000_t176" style="position:absolute;left:1982;top:6405;height:420;width:2512;" filled="t" coordsize="21600,21600">
              <v:path/>
              <v:fill type="gradient" on="t" angle="90" focussize="0f,0f">
                <o:fill type="gradientUnscaled" v:ext="backwardCompatible"/>
              </v:fill>
              <v:stroke weight="0.25pt" joinstyle="miter"/>
              <v:imagedata o:title=""/>
              <o:lock v:ext="edit"/>
              <v:textbox>
                <w:txbxContent>
                  <w:p>
                    <w:pPr>
                      <w:jc w:val="center"/>
                      <w:rPr>
                        <w:rFonts w:ascii="仿宋" w:hAnsi="仿宋" w:eastAsia="仿宋"/>
                        <w:snapToGrid w:val="0"/>
                        <w:sz w:val="18"/>
                      </w:rPr>
                    </w:pPr>
                    <w:r>
                      <w:rPr>
                        <w:rFonts w:hint="eastAsia" w:ascii="仿宋" w:hAnsi="仿宋" w:eastAsia="仿宋"/>
                        <w:snapToGrid w:val="0"/>
                        <w:sz w:val="18"/>
                      </w:rPr>
                      <w:t>书面材料审查</w:t>
                    </w:r>
                  </w:p>
                </w:txbxContent>
              </v:textbox>
            </v:shape>
            <v:shape id="文本框 126" o:spid="_x0000_s1160" o:spt="176" type="#_x0000_t176" style="position:absolute;left:1982;top:7553;height:775;width:2512;" filled="t" coordsize="21600,21600">
              <v:path/>
              <v:fill type="gradient" on="t" angle="90" focussize="0f,0f">
                <o:fill type="gradientUnscaled" v:ext="backwardCompatible"/>
              </v:fill>
              <v:stroke weight="0.25pt" joinstyle="miter"/>
              <v:imagedata o:title=""/>
              <o:lock v:ext="edit"/>
              <v:textbox>
                <w:txbxContent>
                  <w:p>
                    <w:pPr>
                      <w:jc w:val="center"/>
                      <w:rPr>
                        <w:rFonts w:ascii="仿宋" w:hAnsi="仿宋" w:eastAsia="仿宋"/>
                        <w:snapToGrid w:val="0"/>
                        <w:sz w:val="18"/>
                      </w:rPr>
                    </w:pPr>
                    <w:r>
                      <w:rPr>
                        <w:rFonts w:hint="eastAsia" w:ascii="仿宋" w:hAnsi="仿宋" w:eastAsia="仿宋"/>
                        <w:snapToGrid w:val="0"/>
                        <w:sz w:val="18"/>
                      </w:rPr>
                      <w:t>中国人民银行厦门市分行出具初审意见</w:t>
                    </w:r>
                  </w:p>
                </w:txbxContent>
              </v:textbox>
            </v:shape>
            <v:shape id="文本框 128" o:spid="_x0000_s1161" o:spt="176" type="#_x0000_t176" style="position:absolute;left:1982;top:8969;height:432;width:2512;" filled="t" coordsize="21600,21600">
              <v:path/>
              <v:fill type="gradient" on="t" angle="90" focussize="0f,0f">
                <o:fill type="gradientUnscaled" v:ext="backwardCompatible"/>
              </v:fill>
              <v:stroke weight="0.25pt" joinstyle="miter"/>
              <v:imagedata o:title=""/>
              <o:lock v:ext="edit"/>
              <v:textbox>
                <w:txbxContent>
                  <w:p>
                    <w:pPr>
                      <w:jc w:val="center"/>
                      <w:rPr>
                        <w:rFonts w:ascii="仿宋" w:hAnsi="仿宋" w:eastAsia="仿宋"/>
                        <w:snapToGrid w:val="0"/>
                        <w:sz w:val="18"/>
                      </w:rPr>
                    </w:pPr>
                    <w:r>
                      <w:rPr>
                        <w:rFonts w:hint="eastAsia" w:ascii="仿宋" w:hAnsi="仿宋" w:eastAsia="仿宋"/>
                        <w:snapToGrid w:val="0"/>
                        <w:sz w:val="18"/>
                      </w:rPr>
                      <w:t>中国人民银行总行复审</w:t>
                    </w:r>
                  </w:p>
                </w:txbxContent>
              </v:textbox>
            </v:shape>
            <v:shape id="文本框 129" o:spid="_x0000_s1162" o:spt="176" type="#_x0000_t176" style="position:absolute;left:1982;top:9892;height:479;width:2512;" filled="t" coordsize="21600,21600">
              <v:path/>
              <v:fill type="gradient" on="t" angle="90" focussize="0f,0f">
                <o:fill type="gradientUnscaled" v:ext="backwardCompatible"/>
              </v:fill>
              <v:stroke weight="0.25pt" joinstyle="miter"/>
              <v:imagedata o:title=""/>
              <o:lock v:ext="edit"/>
              <v:textbox>
                <w:txbxContent>
                  <w:p>
                    <w:pPr>
                      <w:jc w:val="center"/>
                      <w:rPr>
                        <w:rFonts w:ascii="仿宋" w:hAnsi="仿宋" w:eastAsia="仿宋"/>
                        <w:snapToGrid w:val="0"/>
                        <w:sz w:val="18"/>
                      </w:rPr>
                    </w:pPr>
                    <w:r>
                      <w:rPr>
                        <w:rFonts w:hint="eastAsia" w:ascii="仿宋" w:hAnsi="仿宋" w:eastAsia="仿宋"/>
                        <w:snapToGrid w:val="0"/>
                        <w:sz w:val="18"/>
                      </w:rPr>
                      <w:t>作出行政许可决定</w:t>
                    </w:r>
                  </w:p>
                </w:txbxContent>
              </v:textbox>
            </v:shape>
            <v:shape id="自选图形 132" o:spid="_x0000_s1163" o:spt="32" type="#_x0000_t32" style="position:absolute;left:3232;top:8348;height:567;width:0;" o:connectortype="straight" filled="f" coordsize="21600,21600">
              <v:path arrowok="t"/>
              <v:fill on="f" focussize="0,0"/>
              <v:stroke weight="0.25pt" endarrow="block"/>
              <v:imagedata o:title=""/>
              <o:lock v:ext="edit"/>
            </v:shape>
            <v:shape id="自选图形 132" o:spid="_x0000_s1164" o:spt="32" type="#_x0000_t32" style="position:absolute;left:3238;top:9411;height:481;width:0;" o:connectortype="straight" filled="f" coordsize="21600,21600">
              <v:path arrowok="t"/>
              <v:fill on="f" focussize="0,0"/>
              <v:stroke weight="0.25pt" endarrow="block"/>
              <v:imagedata o:title=""/>
              <o:lock v:ext="edit"/>
            </v:shape>
            <v:shape id="自选图形 123" o:spid="_x0000_s1165" o:spt="32" type="#_x0000_t32" style="position:absolute;left:3238;top:6825;height:782;width:0;" o:connectortype="straight" filled="f" coordsize="21600,21600">
              <v:path arrowok="t"/>
              <v:fill on="f" focussize="0,0"/>
              <v:stroke weight="0.25pt" endarrow="block"/>
              <v:imagedata o:title=""/>
              <o:lock v:ext="edit"/>
            </v:shape>
            <v:shape id="_x0000_s1166" o:spid="_x0000_s1166" o:spt="34" type="#_x0000_t34" style="position:absolute;left:4593;top:3074;height:567;width:4224;rotation:11796480f;" o:connectortype="elbow" filled="f" coordsize="21600,21600" adj="-41,-138705,-45087">
              <v:path arrowok="t"/>
              <v:fill on="f" focussize="0,0"/>
              <v:stroke endarrow="block"/>
              <v:imagedata o:title=""/>
              <o:lock v:ext="edit"/>
            </v:shape>
            <v:shape id="自选图形 123" o:spid="_x0000_s1167" o:spt="32" type="#_x0000_t32" style="position:absolute;left:3238;top:5879;height:526;width:0;" o:connectortype="straight" filled="f" coordsize="21600,21600">
              <v:path arrowok="t"/>
              <v:fill on="f" focussize="0,0"/>
              <v:stroke weight="0.25pt" endarrow="block"/>
              <v:imagedata o:title=""/>
              <o:lock v:ext="edit"/>
            </v:shape>
            <v:shape id="文本框 129" o:spid="_x0000_s1168" o:spt="176" type="#_x0000_t176" style="position:absolute;left:1946;top:10963;height:788;width:2584;" filled="t" coordsize="21600,21600">
              <v:path/>
              <v:fill type="gradient" on="t" angle="90" focussize="0f,0f">
                <o:fill type="gradientUnscaled" v:ext="backwardCompatible"/>
              </v:fill>
              <v:stroke weight="0.25pt" joinstyle="miter"/>
              <v:imagedata o:title=""/>
              <o:lock v:ext="edit"/>
              <v:textbox>
                <w:txbxContent>
                  <w:p>
                    <w:pPr>
                      <w:jc w:val="center"/>
                      <w:rPr>
                        <w:rFonts w:ascii="仿宋" w:hAnsi="仿宋" w:eastAsia="仿宋"/>
                        <w:snapToGrid w:val="0"/>
                        <w:sz w:val="18"/>
                      </w:rPr>
                    </w:pPr>
                    <w:r>
                      <w:rPr>
                        <w:rFonts w:hint="eastAsia" w:ascii="仿宋" w:hAnsi="仿宋" w:eastAsia="仿宋"/>
                        <w:snapToGrid w:val="0"/>
                        <w:sz w:val="18"/>
                      </w:rPr>
                      <w:t>发放《支付业务许可证》或者不予行政许可决定书</w:t>
                    </w:r>
                  </w:p>
                </w:txbxContent>
              </v:textbox>
            </v:shape>
            <v:shape id="自选图形 132" o:spid="_x0000_s1169" o:spt="32" type="#_x0000_t32" style="position:absolute;left:3249;top:10354;height:539;width:0;" o:connectortype="straight" filled="f" coordsize="21600,21600">
              <v:path arrowok="t"/>
              <v:fill on="f" focussize="0,0"/>
              <v:stroke weight="0.25pt" endarrow="block"/>
              <v:imagedata o:title=""/>
              <o:lock v:ext="edit"/>
            </v:shape>
          </v:group>
        </w:pict>
      </w:r>
      <w:r>
        <w:rPr>
          <w:rFonts w:hint="eastAsia" w:ascii="黑体" w:hAnsi="宋体" w:eastAsia="黑体"/>
          <w:color w:val="000000"/>
          <w:sz w:val="32"/>
          <w:szCs w:val="32"/>
        </w:rPr>
        <w:t>附录2</w:t>
      </w:r>
    </w:p>
    <w:p>
      <w:pPr>
        <w:pStyle w:val="6"/>
        <w:spacing w:beforeAutospacing="0" w:afterAutospacing="0" w:line="560" w:lineRule="exact"/>
        <w:jc w:val="center"/>
        <w:rPr>
          <w:rFonts w:hint="eastAsia" w:ascii="黑体" w:hAnsi="宋体" w:eastAsia="黑体"/>
          <w:color w:val="000000"/>
          <w:sz w:val="36"/>
          <w:szCs w:val="36"/>
        </w:rPr>
      </w:pPr>
      <w:r>
        <w:rPr>
          <w:rFonts w:hint="eastAsia" w:ascii="黑体" w:hAnsi="宋体" w:eastAsia="黑体"/>
          <w:color w:val="000000"/>
          <w:sz w:val="36"/>
          <w:szCs w:val="36"/>
        </w:rPr>
        <w:t>非银行支付机构设立初审流程图</w:t>
      </w:r>
    </w:p>
    <w:p>
      <w:pPr>
        <w:pStyle w:val="6"/>
        <w:spacing w:beforeAutospacing="0" w:afterAutospacing="0" w:line="560" w:lineRule="exact"/>
        <w:jc w:val="center"/>
        <w:rPr>
          <w:rFonts w:hint="eastAsia" w:ascii="黑体" w:hAnsi="宋体" w:eastAsia="黑体"/>
          <w:color w:val="000000"/>
          <w:sz w:val="36"/>
          <w:szCs w:val="36"/>
        </w:rPr>
      </w:pPr>
    </w:p>
    <w:p>
      <w:pPr>
        <w:pStyle w:val="6"/>
        <w:spacing w:beforeAutospacing="0" w:afterAutospacing="0" w:line="560" w:lineRule="exact"/>
        <w:jc w:val="center"/>
        <w:rPr>
          <w:rFonts w:hint="eastAsia" w:ascii="黑体" w:hAnsi="宋体" w:eastAsia="黑体"/>
          <w:color w:val="000000"/>
          <w:sz w:val="36"/>
          <w:szCs w:val="36"/>
        </w:rPr>
      </w:pPr>
    </w:p>
    <w:p>
      <w:pPr>
        <w:widowControl/>
        <w:jc w:val="left"/>
        <w:rPr>
          <w:kern w:val="0"/>
          <w:sz w:val="24"/>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panose1 w:val="02010609030101010101"/>
    <w:charset w:val="86"/>
    <w:family w:val="modern"/>
    <w:pitch w:val="default"/>
    <w:sig w:usb0="00000001" w:usb1="080E0000" w:usb2="00000000" w:usb3="00000000" w:csb0="00040000" w:csb1="00000000"/>
  </w:font>
  <w:font w:name="方正小标宋_GBK">
    <w:altName w:val="微软雅黑"/>
    <w:panose1 w:val="00000000000000000000"/>
    <w:charset w:val="86"/>
    <w:family w:val="auto"/>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7E39C1E"/>
    <w:multiLevelType w:val="singleLevel"/>
    <w:tmpl w:val="67E39C1E"/>
    <w:lvl w:ilvl="0" w:tentative="0">
      <w:start w:val="14"/>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trackRevisions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zQ1Mjc0NmU1NzJlNzcyMWJkNGIwNjgxMmY2NTg1ODAifQ=="/>
  </w:docVars>
  <w:rsids>
    <w:rsidRoot w:val="00172A27"/>
    <w:rsid w:val="00110474"/>
    <w:rsid w:val="0011697C"/>
    <w:rsid w:val="00172A27"/>
    <w:rsid w:val="00203052"/>
    <w:rsid w:val="00231AEE"/>
    <w:rsid w:val="00240893"/>
    <w:rsid w:val="002615FD"/>
    <w:rsid w:val="00291258"/>
    <w:rsid w:val="0030579F"/>
    <w:rsid w:val="004D4435"/>
    <w:rsid w:val="00674FC0"/>
    <w:rsid w:val="00754F71"/>
    <w:rsid w:val="00876F1A"/>
    <w:rsid w:val="00950692"/>
    <w:rsid w:val="00A30704"/>
    <w:rsid w:val="00A872A4"/>
    <w:rsid w:val="00F91198"/>
    <w:rsid w:val="00FF4A7A"/>
    <w:rsid w:val="01B74261"/>
    <w:rsid w:val="03C52CBC"/>
    <w:rsid w:val="03CA29C7"/>
    <w:rsid w:val="04984319"/>
    <w:rsid w:val="059576B4"/>
    <w:rsid w:val="072B0A4F"/>
    <w:rsid w:val="08965AA3"/>
    <w:rsid w:val="0B156DBB"/>
    <w:rsid w:val="0B8A7CFC"/>
    <w:rsid w:val="0B9C5D9B"/>
    <w:rsid w:val="0C51468D"/>
    <w:rsid w:val="0E347FDD"/>
    <w:rsid w:val="0E9F527B"/>
    <w:rsid w:val="0FC803F4"/>
    <w:rsid w:val="104A18C6"/>
    <w:rsid w:val="12B442BF"/>
    <w:rsid w:val="13095F47"/>
    <w:rsid w:val="13617C5A"/>
    <w:rsid w:val="156051A2"/>
    <w:rsid w:val="16B25A48"/>
    <w:rsid w:val="1A0C7D49"/>
    <w:rsid w:val="1A42358B"/>
    <w:rsid w:val="1B895FBB"/>
    <w:rsid w:val="1BE608D3"/>
    <w:rsid w:val="1CE0656D"/>
    <w:rsid w:val="1D1012BA"/>
    <w:rsid w:val="1D3B1205"/>
    <w:rsid w:val="1EB91676"/>
    <w:rsid w:val="1EEA56C8"/>
    <w:rsid w:val="2046687E"/>
    <w:rsid w:val="20D573D5"/>
    <w:rsid w:val="21924500"/>
    <w:rsid w:val="24CF1271"/>
    <w:rsid w:val="24D4317A"/>
    <w:rsid w:val="255E785B"/>
    <w:rsid w:val="25C40884"/>
    <w:rsid w:val="278A496D"/>
    <w:rsid w:val="279D5B8C"/>
    <w:rsid w:val="296E5E07"/>
    <w:rsid w:val="2A4171D9"/>
    <w:rsid w:val="2AAD2F10"/>
    <w:rsid w:val="2BD25271"/>
    <w:rsid w:val="2C933131"/>
    <w:rsid w:val="2D0B4074"/>
    <w:rsid w:val="2DA04568"/>
    <w:rsid w:val="2DD82143"/>
    <w:rsid w:val="2E521E0D"/>
    <w:rsid w:val="30ED4FD4"/>
    <w:rsid w:val="31013C75"/>
    <w:rsid w:val="3364565D"/>
    <w:rsid w:val="354D6802"/>
    <w:rsid w:val="36E865A3"/>
    <w:rsid w:val="36FF03C7"/>
    <w:rsid w:val="37EA1649"/>
    <w:rsid w:val="3C232FB8"/>
    <w:rsid w:val="3D75098C"/>
    <w:rsid w:val="3E34514D"/>
    <w:rsid w:val="40027710"/>
    <w:rsid w:val="40862239"/>
    <w:rsid w:val="43D24ED2"/>
    <w:rsid w:val="43DF41E8"/>
    <w:rsid w:val="4873716A"/>
    <w:rsid w:val="48DA7E13"/>
    <w:rsid w:val="4A061AFF"/>
    <w:rsid w:val="4C90086D"/>
    <w:rsid w:val="4CDD70A9"/>
    <w:rsid w:val="4D9145CE"/>
    <w:rsid w:val="4E005F07"/>
    <w:rsid w:val="4E20643C"/>
    <w:rsid w:val="500D5B56"/>
    <w:rsid w:val="501058E7"/>
    <w:rsid w:val="50A53BDC"/>
    <w:rsid w:val="514E2D7C"/>
    <w:rsid w:val="51C1782C"/>
    <w:rsid w:val="529C28AA"/>
    <w:rsid w:val="52A25C20"/>
    <w:rsid w:val="52DC2732"/>
    <w:rsid w:val="53106254"/>
    <w:rsid w:val="543B24BE"/>
    <w:rsid w:val="552F4050"/>
    <w:rsid w:val="555A21DD"/>
    <w:rsid w:val="57762C75"/>
    <w:rsid w:val="57DC29B5"/>
    <w:rsid w:val="5B15237A"/>
    <w:rsid w:val="5BE26FCC"/>
    <w:rsid w:val="604D240F"/>
    <w:rsid w:val="618441BE"/>
    <w:rsid w:val="61A018A1"/>
    <w:rsid w:val="61F749C9"/>
    <w:rsid w:val="63E71D71"/>
    <w:rsid w:val="642D45E8"/>
    <w:rsid w:val="65891022"/>
    <w:rsid w:val="65C45983"/>
    <w:rsid w:val="665C5B49"/>
    <w:rsid w:val="67A34B94"/>
    <w:rsid w:val="689C559A"/>
    <w:rsid w:val="6A263F78"/>
    <w:rsid w:val="6BCA0B67"/>
    <w:rsid w:val="6C4910B5"/>
    <w:rsid w:val="6D2F00AE"/>
    <w:rsid w:val="6EA74418"/>
    <w:rsid w:val="6F66229E"/>
    <w:rsid w:val="71A51882"/>
    <w:rsid w:val="7242215A"/>
    <w:rsid w:val="738D1722"/>
    <w:rsid w:val="73DF7EA7"/>
    <w:rsid w:val="74715218"/>
    <w:rsid w:val="74D6532C"/>
    <w:rsid w:val="759252EF"/>
    <w:rsid w:val="765F4A43"/>
    <w:rsid w:val="776C5E7A"/>
    <w:rsid w:val="78391D4B"/>
    <w:rsid w:val="7A0954EE"/>
    <w:rsid w:val="7A0B54C9"/>
    <w:rsid w:val="7A9C5D04"/>
    <w:rsid w:val="7C923CDE"/>
    <w:rsid w:val="7D99311C"/>
    <w:rsid w:val="7DD47A7D"/>
    <w:rsid w:val="7E855D04"/>
    <w:rsid w:val="7F0D6881"/>
    <w:rsid w:val="7FD14040"/>
  </w:rsids>
  <m:mathPr>
    <m:mathFont m:val="Cambria Math"/>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rules v:ext="edit">
        <o:r id="V:Rule1" type="connector" idref="#自选图形 119"/>
        <o:r id="V:Rule2" type="connector" idref="#自选图形 118"/>
        <o:r id="V:Rule3" type="connector" idref="#自选图形 123"/>
        <o:r id="V:Rule4" type="connector" idref="#自选图形 132"/>
        <o:r id="V:Rule5" type="connector" idref="#自选图形 132"/>
        <o:r id="V:Rule6" type="connector" idref="#自选图形 123"/>
        <o:r id="V:Rule7" type="connector" idref="#_x0000_s1166"/>
        <o:r id="V:Rule8" type="connector" idref="#自选图形 123"/>
        <o:r id="V:Rule9" type="connector" idref="#自选图形 132"/>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uiPriority w:val="0"/>
    <w:pPr>
      <w:jc w:val="left"/>
    </w:pPr>
  </w:style>
  <w:style w:type="paragraph" w:styleId="3">
    <w:name w:val="Balloon Text"/>
    <w:basedOn w:val="1"/>
    <w:link w:val="9"/>
    <w:qFormat/>
    <w:uiPriority w:val="0"/>
    <w:rPr>
      <w:sz w:val="18"/>
      <w:szCs w:val="1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Autospacing="1" w:afterAutospacing="1"/>
      <w:jc w:val="left"/>
    </w:pPr>
    <w:rPr>
      <w:kern w:val="0"/>
      <w:sz w:val="24"/>
    </w:rPr>
  </w:style>
  <w:style w:type="character" w:customStyle="1" w:styleId="9">
    <w:name w:val="批注框文本 Char"/>
    <w:basedOn w:val="8"/>
    <w:link w:val="3"/>
    <w:qFormat/>
    <w:uiPriority w:val="0"/>
    <w:rPr>
      <w:rFonts w:ascii="Calibri" w:hAnsi="Calibri" w:cs="黑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148"/>
    <customShpInfo spid="_x0000_s1149"/>
    <customShpInfo spid="_x0000_s1150"/>
    <customShpInfo spid="_x0000_s1151"/>
    <customShpInfo spid="_x0000_s1152"/>
    <customShpInfo spid="_x0000_s1153"/>
    <customShpInfo spid="_x0000_s1154"/>
    <customShpInfo spid="_x0000_s1155"/>
    <customShpInfo spid="_x0000_s1156"/>
    <customShpInfo spid="_x0000_s1157"/>
    <customShpInfo spid="_x0000_s1158"/>
    <customShpInfo spid="_x0000_s1159"/>
    <customShpInfo spid="_x0000_s1160"/>
    <customShpInfo spid="_x0000_s1161"/>
    <customShpInfo spid="_x0000_s1162"/>
    <customShpInfo spid="_x0000_s1163"/>
    <customShpInfo spid="_x0000_s1164"/>
    <customShpInfo spid="_x0000_s1165"/>
    <customShpInfo spid="_x0000_s1166"/>
    <customShpInfo spid="_x0000_s1167"/>
    <customShpInfo spid="_x0000_s1168"/>
    <customShpInfo spid="_x0000_s1169"/>
    <customShpInfo spid="_x0000_s114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17</Pages>
  <Words>926</Words>
  <Characters>5283</Characters>
  <Lines>44</Lines>
  <Paragraphs>12</Paragraphs>
  <TotalTime>5</TotalTime>
  <ScaleCrop>false</ScaleCrop>
  <LinksUpToDate>false</LinksUpToDate>
  <CharactersWithSpaces>6197</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2025-09-01T08:08:00Z</dcterms:created>
  <dc:creator>Lenovo</dc:creator>
  <cp:lastModifiedBy>张志杰/厦门/PBC</cp:lastModifiedBy>
  <cp:lastPrinted>2025-04-01T02:03:00Z</cp:lastPrinted>
  <dcterms:modified xsi:type="dcterms:W3CDTF">2025-09-02T09:28:47Z</dcterms:modified>
  <dc:title>中国人民银行山东省分行行政许可事项服务指南</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E1F0F30AED684E10B07C6ADB6C62AEFB_11</vt:lpwstr>
  </property>
  <property fmtid="{D5CDD505-2E9C-101B-9397-08002B2CF9AE}" pid="4" name="KSOTemplateDocerSaveRecord">
    <vt:lpwstr>eyJoZGlkIjoiMTM2MTJjOTFhYjAyYjE3ZGQ1YTM2Nzk5YTJkYjA5YWYifQ==</vt:lpwstr>
  </property>
</Properties>
</file>